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Hemifacial spasm (HFS) is a movement disorder, characterised by involuntary, episodic twitches of muscles innervated by the facial nerve. HFS mostly occurs in adults and is usually considered to be of peripheral origin. Other conditions that can be mistaken clinically for HFS are essential blepharospasm, focal cortical seizures involving the facial muscles, tardive dyskinesia, and aberrant regeneration after facial nerve injury [1]. Repetitive, stereotyped movements of the face and head may occur in focal epilepsy or as manifestations of nonepileptic movement disorders. Partial seizures due to discharges in the motor cortex, may present as clonic movements of the face, head and neck.</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Palatal myoclonus, or palatal tremor, is a rare movement disorder characterised by rhythmic jerky movements of the soft palate and occasionally other brainstem-innervated muscles. Most of the cases reported are considered to be secondary to brainstem or cerebellar disease, although a few patients fail to show evidence of a structural lesion [2].</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We report video data and neuroimaging findings on a child with Goldenhar's syndrome [3, 4] who presented early in life with paroxysmal episodes of hemifacial contraction and twitching. Later on, he also developed abnormal eye movements, characterised by a rhythmical component identical to that which can be seen in myorhythmias, without involvement of the palate.</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bookmarkStart w:id="0" w:name="rubrique1"/>
      <w:bookmarkEnd w:id="0"/>
      <w:r w:rsidRPr="004755F9">
        <w:rPr>
          <w:rFonts w:ascii="Arial" w:eastAsia="Times New Roman" w:hAnsi="Arial" w:cs="Arial"/>
          <w:color w:val="555555"/>
          <w:sz w:val="20"/>
          <w:szCs w:val="20"/>
        </w:rPr>
        <w:t>Case report</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A boy (d.o.b. Feb. 1978), the second child of healthy, unrelated parents, was first hospitalised at the age of 3 months for suspected left-sided facial motor seizures, which had started at the age of six weeks. Mild axial hypotonia was noted, but neurological examination was otherwise unremarkable. Moderate dysmorphic features were present with left facial asymmetry associated with a small mandible. Ophthalmological examination revealed an epibulbar dermoid cyst of the right corneal limb, associated with a pretragus tag and mild atrophy of the inferior part of the left iris, considered a minor equivalent of a coloboma. The fundus was normal. Spine X-rays showed fusion of the pedicles of the second and third thoracic vertebrae. The association of all these abnormalities suggested Goldenhar's syndrome [3-5].</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Paroxysmal episodes </w:t>
      </w:r>
      <w:r w:rsidRPr="004755F9">
        <w:rPr>
          <w:rFonts w:ascii="Arial" w:eastAsia="Times New Roman" w:hAnsi="Arial" w:cs="Arial"/>
          <w:i/>
          <w:iCs/>
          <w:color w:val="555555"/>
          <w:sz w:val="20"/>
          <w:szCs w:val="20"/>
        </w:rPr>
        <w:t>(video sequence I)</w:t>
      </w:r>
      <w:r w:rsidRPr="004755F9">
        <w:rPr>
          <w:rFonts w:ascii="Arial" w:eastAsia="Times New Roman" w:hAnsi="Arial" w:cs="Arial"/>
          <w:color w:val="555555"/>
          <w:sz w:val="20"/>
          <w:szCs w:val="20"/>
        </w:rPr>
        <w:t> consisted of a mostly tonic involuntary contraction of the left angle of the mouth, with narrowing of the palpebral fissure and reddening of the face, followed by mild clonic twitching of the orbicularis oculi muscle. A slight acceleration of the respiratory rhythm could precede the tonic contraction, and a grunting, cough-like noise was usually associated. The episodes lasted 5 to 60 secondes, with a frequency of almost ten episodes per 24 h, diurnal or nocturnal, mainly during wakefulness. No triggering factors could be demonstrated. Some of the attacks were associated with elevation of the left shoulder and contraction of the left trapezius and sternocleidomastoid muscles. Occasionally there was diminished muscle tone in the neck with a slight head nod. There was no apparent impairment of awareness, postictal amnesia or altered behaviour. Interictal and ictal EEG were normal. We never recorded any spikes, flattening or recruiting rhythm. A first CT scan was considered normal. Treatment with various antiepileptic drugs at optimal doses and in various combinations were unsuccessful.</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Global neuromotor development was rather slow but always remained within normal limits. He walked at 19 months old, used single words by the age of 26 months and he later attended normal school. He remained rather slow in manipulating objects. When the child was four years old, he experienced a generalized tonic-clonic seizure, during a febrile episode. No focal signs could be demonstrated despite detailed questioning of the family, and this episode remained an isolated one. A few months later, he underwent internal urethretomy for urethral narrowing and later left nephrectomy for a small, non-functional kidney.</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lastRenderedPageBreak/>
        <w:t>Neuro-ophthalmological examination at the age of six years revealed paresis of the left VIth cranial nerve and convergent strabismus, compensated by a slight rotation of the head to the right. Magnetic resonance imaging at age ten years revealed a cerebellar mass lesion </w:t>
      </w:r>
      <w:r w:rsidRPr="004755F9">
        <w:rPr>
          <w:rFonts w:ascii="Arial" w:eastAsia="Times New Roman" w:hAnsi="Arial" w:cs="Arial"/>
          <w:i/>
          <w:iCs/>
          <w:color w:val="555555"/>
          <w:sz w:val="20"/>
          <w:szCs w:val="20"/>
        </w:rPr>
        <w:t>(</w:t>
      </w:r>
      <w:hyperlink r:id="rId6" w:tgtFrame="_blank" w:history="1">
        <w:r w:rsidRPr="004755F9">
          <w:rPr>
            <w:rFonts w:ascii="Arial" w:eastAsia="Times New Roman" w:hAnsi="Arial" w:cs="Arial"/>
            <w:i/>
            <w:iCs/>
            <w:color w:val="0645AD"/>
            <w:sz w:val="20"/>
            <w:szCs w:val="20"/>
          </w:rPr>
          <w:t>figure 1a-b</w:t>
        </w:r>
      </w:hyperlink>
      <w:r w:rsidRPr="004755F9">
        <w:rPr>
          <w:rFonts w:ascii="Arial" w:eastAsia="Times New Roman" w:hAnsi="Arial" w:cs="Arial"/>
          <w:i/>
          <w:iCs/>
          <w:color w:val="555555"/>
          <w:sz w:val="20"/>
          <w:szCs w:val="20"/>
        </w:rPr>
        <w:t>)</w:t>
      </w:r>
      <w:r w:rsidRPr="004755F9">
        <w:rPr>
          <w:rFonts w:ascii="Arial" w:eastAsia="Times New Roman" w:hAnsi="Arial" w:cs="Arial"/>
          <w:color w:val="555555"/>
          <w:sz w:val="20"/>
          <w:szCs w:val="20"/>
        </w:rPr>
        <w:t>, returning a low signal in T1 and a high signal in T2 sequences. The lesion was developed in the left cerebellar peduncle, at the level of the pontomedullary junction, impinging on the IVth ventricle and with a clear mass effect on the brainstem structures, without crossing the midline. Repeated MRI examinations over the last 10 years has not shown any change in shape, aspect, volume or mass effect, of what was considered to be a hamartoma. Positron emission tomography, using fluo-18-deoxyglucose did not reveal any significant abnormality of cerebral metabolism (Dr S. Dupont, CHFJ, Orsay, France).</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Systematic neurological examination at the age of eleven noted, for the first time, bilateral abnormal eye movements, predominating on the left. These may have existed earlier as they were of very small amplitude. They had a regular rhythmical character, were obliquely directed left and upwards with an anti-clockwise rotatory component and persisted during sleep. They were synchronous with slight, minimal, palpebral movements of both the superior and inferior eyelids and with mild contractions of the left mentalis muscle. These movements had the characteristic rhythm and regularity of skeletal myorythmias but there was no palatal tremor </w:t>
      </w:r>
      <w:r w:rsidRPr="004755F9">
        <w:rPr>
          <w:rFonts w:ascii="Arial" w:eastAsia="Times New Roman" w:hAnsi="Arial" w:cs="Arial"/>
          <w:i/>
          <w:iCs/>
          <w:color w:val="555555"/>
          <w:sz w:val="20"/>
          <w:szCs w:val="20"/>
        </w:rPr>
        <w:t>(video sequence II)</w:t>
      </w:r>
      <w:r w:rsidRPr="004755F9">
        <w:rPr>
          <w:rFonts w:ascii="Arial" w:eastAsia="Times New Roman" w:hAnsi="Arial" w:cs="Arial"/>
          <w:color w:val="555555"/>
          <w:sz w:val="20"/>
          <w:szCs w:val="20"/>
        </w:rPr>
        <w:t>.</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Electromyographic study of the facial muscles showed signs of partial denervation and repeated rythmical multiplets corresponding to the movements. Brainstem auditory-evoked potentials did not reveal any abnormality of the auditory pathways.</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The patient is now 21 years old. Duration, frequency and semeiology of paroxysmal attacks remain unchanged. Surgical resection has been discussed but postponed, because of the minimal interference of the attacks with everyday life. The abnormal rhythmic movements of the eyelids and eyeballs also remained unchanged.</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bookmarkStart w:id="1" w:name="rubrique2"/>
      <w:bookmarkEnd w:id="1"/>
      <w:r w:rsidRPr="004755F9">
        <w:rPr>
          <w:rFonts w:ascii="Arial" w:eastAsia="Times New Roman" w:hAnsi="Arial" w:cs="Arial"/>
          <w:color w:val="555555"/>
          <w:sz w:val="20"/>
          <w:szCs w:val="20"/>
        </w:rPr>
        <w:t>Discussion</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The clinical presentation and neuroimaging findings raise three main issues for discussion: the nature of the paroxysmal episodes recorded, the origin of myorhythmias and the relation of the above mentioned, clinically distinct, dysfunctions to the underlying congenital malformation.</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Nature of the paroxysmal attacks</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The tonic component of our patient's attacks, involving mainly the lips, could suggest hemifacial spasm [6-10] due to direct irritation of the VIIth nerve nucleus or of the dependent fibers by the mass lesion. However, in HFS the twitches usually begin unilaterally about the eye and then spread to other facial muscles, but never beyond the territory of the facial nerve. Our patient's clinical symptomatology evoked propagation of the discharge to bulbar centers (expressed by a grunting noise) and upper spinal cord (shoulder contraction and elevation), favouring the diagnosis of partial seizures despite the absence of any interictal or ictal EEG abnormality, the absence of response to antiepileptic drugs and of any cortical lesion on several MRI examinations. Absence of ictal or interictal EEG abnormalities in partial epilepsies with sensorimotor symptoms is not uncommon and the paroxysmal and stereotyped nature of the attacks is highly suggestive of partial seizures.</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HFS is almost exclusively observed in adults or older children and a compression by a vascular loop is usually suspected, such a mechanism being supported by the observations of remission after vascular decompression [11-13]. As pointed out by Wartenberg [14], and demonstrated in the large series of Jannetta </w:t>
      </w:r>
      <w:r w:rsidRPr="004755F9">
        <w:rPr>
          <w:rFonts w:ascii="Arial" w:eastAsia="Times New Roman" w:hAnsi="Arial" w:cs="Arial"/>
          <w:i/>
          <w:iCs/>
          <w:color w:val="555555"/>
          <w:sz w:val="20"/>
          <w:szCs w:val="20"/>
        </w:rPr>
        <w:t>et al.</w:t>
      </w:r>
      <w:r w:rsidRPr="004755F9">
        <w:rPr>
          <w:rFonts w:ascii="Arial" w:eastAsia="Times New Roman" w:hAnsi="Arial" w:cs="Arial"/>
          <w:color w:val="555555"/>
          <w:sz w:val="20"/>
          <w:szCs w:val="20"/>
        </w:rPr>
        <w:t> [12] the occurrence of HFS with space-occupying lesions is extremely rare.</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lastRenderedPageBreak/>
        <w:t>In several reported cases of "hemisomatic" or "hemifacial" spasm in children [15-19], neuroimaging revealed a unilateral mass in a cerebellar hemisphere and peduncle. The lesions appeared to be stable, probably dysplastic and were usually considered as gangliogliomas. The terms "hemifacial or hemisomatic spasm" have been questioned by Harvey </w:t>
      </w:r>
      <w:r w:rsidRPr="004755F9">
        <w:rPr>
          <w:rFonts w:ascii="Arial" w:eastAsia="Times New Roman" w:hAnsi="Arial" w:cs="Arial"/>
          <w:i/>
          <w:iCs/>
          <w:color w:val="555555"/>
          <w:sz w:val="20"/>
          <w:szCs w:val="20"/>
        </w:rPr>
        <w:t>et al.</w:t>
      </w:r>
      <w:r w:rsidRPr="004755F9">
        <w:rPr>
          <w:rFonts w:ascii="Arial" w:eastAsia="Times New Roman" w:hAnsi="Arial" w:cs="Arial"/>
          <w:color w:val="555555"/>
          <w:sz w:val="20"/>
          <w:szCs w:val="20"/>
        </w:rPr>
        <w:t> [20]. The authors argued that these cases are clinically and etiologically different from HFS, and stressed the fact that accepting the role of a mechanical compression by the mass as the most plausible explanation of HFS would leave unexplained the other manifestations observed (eye deviation, head deviation, dystonic posturing of the arm etc). In one child with a similar clinical picture in relation to a left cerebellar ganglioglioma, the hypothesis of "epileptic seizures of cerebellar origin" was supported [20] by ictal EEG recordings with implanted electrodes. Ictal recordings showed that focal discharges "originated in the region of the mass". Single-photon emission computed tomography (SPECT) revealed ictal focal hyperperfusion in the region of the cerebellar mass and relative interictal hypoperfusion throughout the left cerebellar hemisphere. Resection of the mass resulted in disappearance of the episodes.</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The similarity of clinical presentation and neuroimaging findings in our patient to that of Harvey </w:t>
      </w:r>
      <w:r w:rsidRPr="004755F9">
        <w:rPr>
          <w:rFonts w:ascii="Arial" w:eastAsia="Times New Roman" w:hAnsi="Arial" w:cs="Arial"/>
          <w:i/>
          <w:iCs/>
          <w:color w:val="555555"/>
          <w:sz w:val="20"/>
          <w:szCs w:val="20"/>
        </w:rPr>
        <w:t>et al.</w:t>
      </w:r>
      <w:r w:rsidRPr="004755F9">
        <w:rPr>
          <w:rFonts w:ascii="Arial" w:eastAsia="Times New Roman" w:hAnsi="Arial" w:cs="Arial"/>
          <w:color w:val="555555"/>
          <w:sz w:val="20"/>
          <w:szCs w:val="20"/>
        </w:rPr>
        <w:t> [20] strongly supports an epileptic origin for our patient's attacks despite the lack of definitive surgical confirmation. However, even in the case of Harvey </w:t>
      </w:r>
      <w:r w:rsidRPr="004755F9">
        <w:rPr>
          <w:rFonts w:ascii="Arial" w:eastAsia="Times New Roman" w:hAnsi="Arial" w:cs="Arial"/>
          <w:i/>
          <w:iCs/>
          <w:color w:val="555555"/>
          <w:sz w:val="20"/>
          <w:szCs w:val="20"/>
        </w:rPr>
        <w:t>et al.</w:t>
      </w:r>
      <w:r w:rsidRPr="004755F9">
        <w:rPr>
          <w:rFonts w:ascii="Arial" w:eastAsia="Times New Roman" w:hAnsi="Arial" w:cs="Arial"/>
          <w:color w:val="555555"/>
          <w:sz w:val="20"/>
          <w:szCs w:val="20"/>
        </w:rPr>
        <w:t> [20], demonstration of focal discharges within the lesion does not exclude the participation of neighbouring structures, including the facial nucleus, in the discharges. A further argument can be drawn from the demonstration of the epileptic nature of gelastic and dacrystic attacks in patients with hypothalamic hamartomas and of their origin from the lesion [21-24].</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The fact that ictal discharges were recorded within dysplastic lesions known to contain neurons and that complete remission was obtained in at least three known cases following complete resection of the cerebellar hamartomatous lesion [15, 20, 25] supports a direct origin of seizures from the lesion.</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bookmarkStart w:id="2" w:name="rubrique3"/>
      <w:bookmarkEnd w:id="2"/>
      <w:r w:rsidRPr="004755F9">
        <w:rPr>
          <w:rFonts w:ascii="Arial" w:eastAsia="Times New Roman" w:hAnsi="Arial" w:cs="Arial"/>
          <w:color w:val="555555"/>
          <w:sz w:val="20"/>
          <w:szCs w:val="20"/>
        </w:rPr>
        <w:t>Origin of the myorhythmias</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Later in life, our patient also presented rhythmical abnormal eye movements of small amplitude that persisted during sleep. These were synchronous with palpebral and chin muscles movements, identical to those in myorhythmias but without involvement of the palate. There was no time correlation between them and the paroxysmal attacks described above.</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Palatal myoclonus, also known as </w:t>
      </w:r>
      <w:r w:rsidRPr="004755F9">
        <w:rPr>
          <w:rFonts w:ascii="Arial" w:eastAsia="Times New Roman" w:hAnsi="Arial" w:cs="Arial"/>
          <w:i/>
          <w:iCs/>
          <w:color w:val="555555"/>
          <w:sz w:val="20"/>
          <w:szCs w:val="20"/>
        </w:rPr>
        <w:t>palatal tremor</w:t>
      </w:r>
      <w:r w:rsidRPr="004755F9">
        <w:rPr>
          <w:rFonts w:ascii="Arial" w:eastAsia="Times New Roman" w:hAnsi="Arial" w:cs="Arial"/>
          <w:color w:val="555555"/>
          <w:sz w:val="20"/>
          <w:szCs w:val="20"/>
        </w:rPr>
        <w:t> or </w:t>
      </w:r>
      <w:r w:rsidRPr="004755F9">
        <w:rPr>
          <w:rFonts w:ascii="Arial" w:eastAsia="Times New Roman" w:hAnsi="Arial" w:cs="Arial"/>
          <w:i/>
          <w:iCs/>
          <w:color w:val="555555"/>
          <w:sz w:val="20"/>
          <w:szCs w:val="20"/>
        </w:rPr>
        <w:t>brainstem myorhythmia</w:t>
      </w:r>
      <w:r w:rsidRPr="004755F9">
        <w:rPr>
          <w:rFonts w:ascii="Arial" w:eastAsia="Times New Roman" w:hAnsi="Arial" w:cs="Arial"/>
          <w:color w:val="555555"/>
          <w:sz w:val="20"/>
          <w:szCs w:val="20"/>
        </w:rPr>
        <w:t> [26-30], is regarded as the prototype of a hyperkinetic movement disorder depending on a central pacemaker [31], the inferior olive [32], as the rhythmic jerks are time-locked in different muscles [2]. Although in adults most cases are associated with hypertrophic degeneration of the inferior olive [27-30, 32, 33], lesions involving, at any point, the pathway from the contralateral dentate nucleus via the branchium conjunctivum and the ipsilateral central tegmental tract to the inferior olive can be responsible for palatal myorhythmias. Participation of additional muscle groups in palatal tremor has been known [2]. Moreover, focal rhythmic movements of muscles derived from the branchial arches can occur without palatal myoclonus [34]. Branchial myoclonus may involve the lips, face, platysma, neck and larynx. These movements are synchronous with those of the palate [34].</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In our patient, the ocular and skeletal myorhythmias were probably due to the presence of the hamartoma that involved the central tegmental tract as well as the facial nucleus. The participation of variable muscles in the myorhythmias may be due to the somatotopic organisation of the inferior olive [35] with consequent involvement of only some muscles.</w:t>
      </w:r>
    </w:p>
    <w:p w:rsidR="004755F9" w:rsidRPr="004755F9" w:rsidRDefault="004755F9" w:rsidP="004755F9">
      <w:pPr>
        <w:shd w:val="clear" w:color="auto" w:fill="FFFFFF"/>
        <w:spacing w:line="270" w:lineRule="atLeast"/>
        <w:rPr>
          <w:rFonts w:ascii="Arial" w:eastAsia="Times New Roman" w:hAnsi="Arial" w:cs="Arial"/>
          <w:color w:val="555555"/>
          <w:sz w:val="20"/>
          <w:szCs w:val="20"/>
        </w:rPr>
      </w:pPr>
      <w:bookmarkStart w:id="3" w:name="rubrique4"/>
      <w:bookmarkEnd w:id="3"/>
      <w:r w:rsidRPr="004755F9">
        <w:rPr>
          <w:rFonts w:ascii="Arial" w:eastAsia="Times New Roman" w:hAnsi="Arial" w:cs="Arial"/>
          <w:color w:val="555555"/>
          <w:sz w:val="20"/>
          <w:szCs w:val="20"/>
        </w:rPr>
        <w:t>Significance of Goldenhar's syndrome</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 xml:space="preserve">Since the initial description by Goldenhar [3] of three patients with epibulbar dermoids, preauricular appendages and mandibular hypoplasia, the variety and variability of anomalies associated with GS have </w:t>
      </w:r>
      <w:r w:rsidRPr="004755F9">
        <w:rPr>
          <w:rFonts w:ascii="Arial" w:eastAsia="Times New Roman" w:hAnsi="Arial" w:cs="Arial"/>
          <w:color w:val="555555"/>
          <w:sz w:val="20"/>
          <w:szCs w:val="20"/>
        </w:rPr>
        <w:lastRenderedPageBreak/>
        <w:t>been increasingly appreciated [4, 36-42]. The syndrome, also described as the "oculo-auriculo-vertebral spectrum" (Gorlin 1990), results from an abnormal development of the first and second branchial arches. Involvement may not be limited to facial structures. Neurological abnormalities have also been reported [4, 5, 36-42] and anomalies of the last rhombomeres are known to be associated with abnormal development of the first brachial arches. Therefore, we suggest that the presence of a dysplastic lesion in our patient presenting with Goldenhar's syndrome is not fortuitous.</w:t>
      </w:r>
    </w:p>
    <w:p w:rsidR="004755F9" w:rsidRPr="004755F9" w:rsidRDefault="004755F9" w:rsidP="004755F9">
      <w:pPr>
        <w:shd w:val="clear" w:color="auto" w:fill="FFFFFF"/>
        <w:spacing w:after="300" w:line="270" w:lineRule="atLeast"/>
        <w:rPr>
          <w:rFonts w:ascii="Arial" w:eastAsia="Times New Roman" w:hAnsi="Arial" w:cs="Arial"/>
          <w:color w:val="555555"/>
          <w:sz w:val="20"/>
          <w:szCs w:val="20"/>
        </w:rPr>
      </w:pPr>
      <w:r w:rsidRPr="004755F9">
        <w:rPr>
          <w:rFonts w:ascii="Arial" w:eastAsia="Times New Roman" w:hAnsi="Arial" w:cs="Arial"/>
          <w:color w:val="555555"/>
          <w:sz w:val="20"/>
          <w:szCs w:val="20"/>
        </w:rPr>
        <w:t>Further detailed clinical studies of partial epilepsies developing in the presence of hamartomatous lesions, also using detailed structural and functional imaging methods as well as stereo-EEG investigations will provide new insights into the mechanisms and pathways involved in human epileptogenesis.</w:t>
      </w:r>
    </w:p>
    <w:p w:rsidR="004755F9" w:rsidRDefault="004755F9" w:rsidP="00880AA2"/>
    <w:p w:rsidR="004755F9" w:rsidRDefault="004755F9" w:rsidP="00880AA2"/>
    <w:p w:rsidR="004755F9" w:rsidRDefault="004755F9" w:rsidP="00880AA2"/>
    <w:p w:rsidR="004755F9" w:rsidRDefault="004755F9" w:rsidP="00880AA2"/>
    <w:p w:rsidR="004755F9" w:rsidRDefault="004755F9" w:rsidP="00880AA2"/>
    <w:p w:rsidR="004755F9" w:rsidRDefault="004755F9" w:rsidP="00880AA2"/>
    <w:p w:rsidR="004755F9" w:rsidRDefault="004755F9" w:rsidP="00880AA2"/>
    <w:p w:rsidR="004755F9" w:rsidRDefault="004755F9" w:rsidP="00880AA2"/>
    <w:p w:rsidR="004755F9" w:rsidRDefault="004755F9" w:rsidP="00880AA2"/>
    <w:p w:rsidR="00880AA2" w:rsidRDefault="00880AA2" w:rsidP="00880AA2">
      <w:r>
        <w:t>1. Auger RG. Hemifacial spasm: clinical and electrophysiologic observations Neurology 1979; 29: 1261-72.</w:t>
      </w:r>
    </w:p>
    <w:p w:rsidR="00880AA2" w:rsidRDefault="00880AA2" w:rsidP="00880AA2"/>
    <w:p w:rsidR="00880AA2" w:rsidRDefault="00880AA2" w:rsidP="00880AA2">
      <w:r>
        <w:t>2. Deuschl G, Mischke G, Schenck E, et al. Symptomatic and essential rhythmic palatal myoclonus. Brain 1990; 113: 1645-72.</w:t>
      </w:r>
    </w:p>
    <w:p w:rsidR="00880AA2" w:rsidRDefault="00880AA2" w:rsidP="00880AA2"/>
    <w:p w:rsidR="00880AA2" w:rsidRDefault="00880AA2" w:rsidP="00880AA2">
      <w:r>
        <w:t>3. Goldenhar M. Associations malformatives de l'œil et de l'oreille, en particulier le syndrome dermoïde épibulbaire-appendices auriculaires-fistula auris congenita et ses relations avec la dysostose mandibulo-faciale. J Genet Hum 1952; 1: 243-82.</w:t>
      </w:r>
    </w:p>
    <w:p w:rsidR="00880AA2" w:rsidRDefault="00880AA2" w:rsidP="00880AA2"/>
    <w:p w:rsidR="00880AA2" w:rsidRDefault="00880AA2" w:rsidP="00880AA2">
      <w:r>
        <w:t>4. Gorlin RJ, Cohen MM (Jr), Levin LS. Branchial arch and oro-acral disorders. In: Syndromes of the Head and Neck. Oxford Monographs on Medical Genetics No 19. Oxford University Press, 1990: 641-91.</w:t>
      </w:r>
    </w:p>
    <w:p w:rsidR="00880AA2" w:rsidRDefault="00880AA2" w:rsidP="00880AA2"/>
    <w:p w:rsidR="00880AA2" w:rsidRDefault="00880AA2" w:rsidP="00880AA2">
      <w:r>
        <w:t>5. Aleksic S, Budzilovich G, Reuben R, et al. Unilateral arhinencephaly in Goldenhar-Gorlin syndrome. Dev Med Child Neurol 1975; 17: 498-504.</w:t>
      </w:r>
    </w:p>
    <w:p w:rsidR="00880AA2" w:rsidRDefault="00880AA2" w:rsidP="00880AA2"/>
    <w:p w:rsidR="00880AA2" w:rsidRDefault="00880AA2" w:rsidP="00880AA2">
      <w:r>
        <w:t>6. Gowers WR. A manual of diseases of the nervous system. Philadelphia: P Blakinston and Company, 1888: 660-9.</w:t>
      </w:r>
    </w:p>
    <w:p w:rsidR="00880AA2" w:rsidRDefault="00880AA2" w:rsidP="00880AA2"/>
    <w:p w:rsidR="00880AA2" w:rsidRDefault="00880AA2" w:rsidP="00880AA2">
      <w:r>
        <w:t>7. Cushing H. The major trigeminal neuralgias and their surgical treatment based on experience with 332 gasserian operations. Am J Med Sci 1920; 160: 157-84.</w:t>
      </w:r>
    </w:p>
    <w:p w:rsidR="00880AA2" w:rsidRDefault="00880AA2" w:rsidP="00880AA2"/>
    <w:p w:rsidR="00880AA2" w:rsidRDefault="00880AA2" w:rsidP="00880AA2">
      <w:r>
        <w:t>8. Digre K, Corbett JJ. Hemifacial spasm: differential diagnosis, mechanism and treatment. In: Jankovik J, Tolosa E. eds. Advances in Neurology, Vol. 49: Facial Dyskinesias. New York: Raven Press 1988: 151-76.</w:t>
      </w:r>
    </w:p>
    <w:p w:rsidR="00880AA2" w:rsidRDefault="00880AA2" w:rsidP="00880AA2"/>
    <w:p w:rsidR="00880AA2" w:rsidRDefault="00880AA2" w:rsidP="00880AA2">
      <w:r>
        <w:lastRenderedPageBreak/>
        <w:t>9. Nielsen VK. Electrophysiology of the facial nerve in hemifacial spasm: ectopic/ephaptic excitation. Muscle Nerve 1985; 8: 545-55.</w:t>
      </w:r>
    </w:p>
    <w:p w:rsidR="00880AA2" w:rsidRDefault="00880AA2" w:rsidP="00880AA2"/>
    <w:p w:rsidR="00880AA2" w:rsidRDefault="00880AA2" w:rsidP="00880AA2">
      <w:r>
        <w:t>10. Moller AR, Janetta PJ. On the origin of synkinesis in hemifacial spasm: results of intracranial recording. J Neurosurg 1984; 61: 569-76.</w:t>
      </w:r>
    </w:p>
    <w:p w:rsidR="00880AA2" w:rsidRDefault="00880AA2" w:rsidP="00880AA2"/>
    <w:p w:rsidR="00880AA2" w:rsidRDefault="00880AA2" w:rsidP="00880AA2">
      <w:r>
        <w:t>11. Gardner WJ, Sava G. Hemifacial spasm- a reversible pathophysiologic state. J Neurosurg 1962; 19: 240-7.</w:t>
      </w:r>
    </w:p>
    <w:p w:rsidR="00880AA2" w:rsidRDefault="00880AA2" w:rsidP="00880AA2"/>
    <w:p w:rsidR="00880AA2" w:rsidRDefault="00880AA2" w:rsidP="00880AA2">
      <w:r>
        <w:t>12. Janetta PJ, Abbasy M, Maroon JC, et al. Etiology and definitive microsurgical treatment of hemifacial spasm: operative techniques and results in 47 patients. J Neurosurg 1977; 47: 321-8.</w:t>
      </w:r>
    </w:p>
    <w:p w:rsidR="00880AA2" w:rsidRDefault="00880AA2" w:rsidP="00880AA2"/>
    <w:p w:rsidR="00880AA2" w:rsidRDefault="00880AA2" w:rsidP="00880AA2">
      <w:r>
        <w:t>13. Auger R, Piepgras DG, Laws ER, Miller RH. Microvascular decompression of the facial nerve for hemifacial spasm: clinical and electrophysiologic observations. Neurology 1981; 31: 346-50.</w:t>
      </w:r>
    </w:p>
    <w:p w:rsidR="00880AA2" w:rsidRDefault="00880AA2" w:rsidP="00880AA2"/>
    <w:p w:rsidR="00880AA2" w:rsidRDefault="00880AA2" w:rsidP="00880AA2">
      <w:r>
        <w:t>14. Wartenberg R. Hemifacial spasm: a clinical and pathophysiological study. New York, Oxford University Press, 1952.</w:t>
      </w:r>
    </w:p>
    <w:p w:rsidR="00880AA2" w:rsidRDefault="00880AA2" w:rsidP="00880AA2"/>
    <w:p w:rsidR="00880AA2" w:rsidRDefault="00880AA2" w:rsidP="00880AA2">
      <w:r>
        <w:t>15. Al-Shahwan SA, Singh B, Riela A, Roach ES. Hemisomatic spasms in children. Neurology 1994; 44: 1332-3.</w:t>
      </w:r>
    </w:p>
    <w:p w:rsidR="00880AA2" w:rsidRDefault="00880AA2" w:rsidP="00880AA2"/>
    <w:p w:rsidR="00880AA2" w:rsidRDefault="00880AA2" w:rsidP="00880AA2">
      <w:r>
        <w:t>16. Langston JW, Tharp BR. Infantile hemifacial spasm. Arch Neurol 1976; 33: 302-3.</w:t>
      </w:r>
    </w:p>
    <w:p w:rsidR="00880AA2" w:rsidRDefault="00880AA2" w:rsidP="00880AA2"/>
    <w:p w:rsidR="00880AA2" w:rsidRDefault="00880AA2" w:rsidP="00880AA2">
      <w:r>
        <w:t>17. Jayakar PB, Seshia SS. Involuntary movements with cerebellar tumour. Can J Neurol Sci 1987; 14: 306-8.</w:t>
      </w:r>
    </w:p>
    <w:p w:rsidR="00880AA2" w:rsidRDefault="00880AA2" w:rsidP="00880AA2"/>
    <w:p w:rsidR="00880AA2" w:rsidRDefault="00880AA2" w:rsidP="00880AA2">
      <w:r>
        <w:t>18. Flüeler U, Taylor D, Hing S, et al. Hemifacial spasm in infancy. Arch Ophthalmol 1990; 108: 812-5.</w:t>
      </w:r>
    </w:p>
    <w:p w:rsidR="00880AA2" w:rsidRDefault="00880AA2" w:rsidP="00880AA2"/>
    <w:p w:rsidR="00880AA2" w:rsidRDefault="00880AA2" w:rsidP="00880AA2">
      <w:r>
        <w:t>19. Bills DC, Hanieh A. Hemifacial spasm in an infant due to fourth ventricular ganglioglioma. J Neurosurg 1991; 75: 134-7.</w:t>
      </w:r>
    </w:p>
    <w:p w:rsidR="00880AA2" w:rsidRDefault="00880AA2" w:rsidP="00880AA2"/>
    <w:p w:rsidR="00880AA2" w:rsidRDefault="00880AA2" w:rsidP="00880AA2">
      <w:r>
        <w:t>20. Harvey S, Jayakar P, Duchowny M, Resnick T, et al. Hemifacial seizures and cerebellar ganglioglioma: an epilepsy syndrome of infancy with seizures of cerebellar origin. Ann Neurol 1996; 40 : 91-98.</w:t>
      </w:r>
    </w:p>
    <w:p w:rsidR="00880AA2" w:rsidRDefault="00880AA2" w:rsidP="00880AA2"/>
    <w:p w:rsidR="00880AA2" w:rsidRDefault="00880AA2" w:rsidP="00880AA2">
      <w:r>
        <w:t>21. Kahane P, Tassi L, Hoffmann D, et al. Crises dacrystiques et hamartome hypothalamique. A propos d'une observation Vidéo-S.E.E.G. Epilepsies 1994; 6: 259-79.</w:t>
      </w:r>
    </w:p>
    <w:p w:rsidR="00880AA2" w:rsidRDefault="00880AA2" w:rsidP="00880AA2"/>
    <w:p w:rsidR="00880AA2" w:rsidRDefault="00880AA2" w:rsidP="00880AA2">
      <w:r>
        <w:t>22. Munari C, Kahane P, Francione S, et al. Role of the hypothalamic hamartoma in the genesis of gelastic fits (Video-SEEG study). Electroenceph Clin Neurophysiol 1995; 95: 154-60.</w:t>
      </w:r>
    </w:p>
    <w:p w:rsidR="00880AA2" w:rsidRDefault="00880AA2" w:rsidP="00880AA2"/>
    <w:p w:rsidR="00880AA2" w:rsidRDefault="00880AA2" w:rsidP="00880AA2">
      <w:r>
        <w:t>23. Francione S, Kahane P, Tassi L, et al. Stereo-EEG of interictal and ictal electrical activity of a histologically proved heterotopic gray matter associated with partial epilepsy. Electroenceph Clin Neurophysiol 1994; 90: 284-90.</w:t>
      </w:r>
    </w:p>
    <w:p w:rsidR="00880AA2" w:rsidRDefault="00880AA2" w:rsidP="00880AA2"/>
    <w:p w:rsidR="00880AA2" w:rsidRDefault="00880AA2" w:rsidP="00880AA2">
      <w:r>
        <w:t>24. Berkovic S, Kuzniecki R, Andermann F. Human Epileptogenesis and Hypothalamic Hamartomas: New lessons from an experiment of nature. Epilepsia 1997; 38: 1-3.</w:t>
      </w:r>
    </w:p>
    <w:p w:rsidR="00880AA2" w:rsidRDefault="00880AA2" w:rsidP="00880AA2"/>
    <w:p w:rsidR="00880AA2" w:rsidRDefault="00880AA2" w:rsidP="00880AA2">
      <w:r>
        <w:lastRenderedPageBreak/>
        <w:t>25. Rodriguez D, Delalande O, Jedynak J, Ponsot G. Hamartome du plancher du IV ventricule responsable d'hemispasmes faciaux à début néonatal. 3rd Congress of the French Child Neurology Society, Lille, January 1993 (personal communication).</w:t>
      </w:r>
    </w:p>
    <w:p w:rsidR="00880AA2" w:rsidRDefault="00880AA2" w:rsidP="00880AA2"/>
    <w:p w:rsidR="00880AA2" w:rsidRDefault="00880AA2" w:rsidP="00880AA2">
      <w:r>
        <w:t>26. Klien H. Zur pathologie der kontinuierlichen rhythmischen Krämpfe der Schlingmuskulatur (2 Fälle von Erweichungsherden im Kleinhirn). Neurologisches Centralblatt 1907; 26: 245-54.</w:t>
      </w:r>
    </w:p>
    <w:p w:rsidR="00880AA2" w:rsidRDefault="00880AA2" w:rsidP="00880AA2"/>
    <w:p w:rsidR="00880AA2" w:rsidRDefault="00880AA2" w:rsidP="00880AA2">
      <w:r>
        <w:t>27. Guillain G, Mollaret P. Deux cas de myoclonies synchrones et rythmées vélo-pharyngo-laryngo-oculo-diaphragmatiques. Le problème anatomique et physio-pathologique de ce syndrome. Rev Neurol 1931; 2: 545-66.</w:t>
      </w:r>
    </w:p>
    <w:p w:rsidR="00880AA2" w:rsidRDefault="00880AA2" w:rsidP="00880AA2"/>
    <w:p w:rsidR="00880AA2" w:rsidRDefault="00880AA2" w:rsidP="00880AA2">
      <w:r>
        <w:t>28. Lapresle J, Ben Hamida M. Correspondance somatotopique, secteur par secteur, des dégénérescences de l'olive bulbaire consécutives à des lésions limitées du noyau dentelé contro-latéral: étude de 4 observations anatomiques. Rev Neurol 1965; 113: 439-48.</w:t>
      </w:r>
    </w:p>
    <w:p w:rsidR="00880AA2" w:rsidRDefault="00880AA2" w:rsidP="00880AA2"/>
    <w:p w:rsidR="00880AA2" w:rsidRDefault="00880AA2" w:rsidP="00880AA2">
      <w:r>
        <w:t>29. Lapresle J, Ben Hamida M. Contribution à la connaissance de la voie dento-olivaire: étude anatomique de deux cas de dégénérescence hypertrophique de l'olive bulbaire secondaire à un ramollissement limité de la calotte mésencéphalique. Presse Med 1968; 76: 1226-30.</w:t>
      </w:r>
    </w:p>
    <w:p w:rsidR="00880AA2" w:rsidRDefault="00880AA2" w:rsidP="00880AA2"/>
    <w:p w:rsidR="00880AA2" w:rsidRDefault="00880AA2" w:rsidP="00880AA2">
      <w:r>
        <w:t>30. Lapresle J. Rhythmic palatal myoclonus and the dentato-olivary pathway. J Neurol 1979; 220: 223-30.</w:t>
      </w:r>
    </w:p>
    <w:p w:rsidR="00880AA2" w:rsidRDefault="00880AA2" w:rsidP="00880AA2"/>
    <w:p w:rsidR="00880AA2" w:rsidRDefault="00880AA2" w:rsidP="00880AA2">
      <w:r>
        <w:t>31. Llinas RR. Rebound excitation as the physiological basis for tremor: a biophysical study of the oscillatory properties of mammalian central neurones in vitro. In: Findley LJ, Capildeo R, eds. Movement disorders: tremor. London: Macmillan 1984: 165-82.</w:t>
      </w:r>
    </w:p>
    <w:p w:rsidR="00880AA2" w:rsidRDefault="00880AA2" w:rsidP="00880AA2"/>
    <w:p w:rsidR="00880AA2" w:rsidRDefault="00880AA2" w:rsidP="00880AA2">
      <w:r>
        <w:t>32. Trelles JO. Les myoclonies vélo-palatines. Considerations anatomiques et physiopathologiques. Rev Neurol 1968; 119: 165-71.</w:t>
      </w:r>
    </w:p>
    <w:p w:rsidR="00880AA2" w:rsidRDefault="00880AA2" w:rsidP="00880AA2"/>
    <w:p w:rsidR="00880AA2" w:rsidRDefault="00880AA2" w:rsidP="00880AA2">
      <w:r>
        <w:t>33. Gautier JC, Blackwood W. Enlargement of the inferior olive nucleus in association with lesions of the central tegmental tract or dentate nucleus. Brain 1961; 84: 341-61.</w:t>
      </w:r>
    </w:p>
    <w:p w:rsidR="00880AA2" w:rsidRDefault="00880AA2" w:rsidP="00880AA2"/>
    <w:p w:rsidR="00880AA2" w:rsidRDefault="00880AA2" w:rsidP="00880AA2">
      <w:r>
        <w:t>34. Dubinsky RM, Hallett M. Palatal myoclonus and facial involvement in other types of myoclonus. In: Jankovik J, Tolosa E, eds Advances in Neurology, Vol. 49: Facial Dyskinesias. New York: Raven Press 1988: 263-78.</w:t>
      </w:r>
    </w:p>
    <w:p w:rsidR="00880AA2" w:rsidRDefault="00880AA2" w:rsidP="00880AA2"/>
    <w:p w:rsidR="00880AA2" w:rsidRDefault="00880AA2" w:rsidP="00880AA2">
      <w:r>
        <w:t>35. Beitz AJ. The topographical organization of the olivo-dentate and dentato-olivary pathways in the cat. Brain Res 1976; 115: 311-7.</w:t>
      </w:r>
    </w:p>
    <w:p w:rsidR="00880AA2" w:rsidRDefault="00880AA2" w:rsidP="00880AA2"/>
    <w:p w:rsidR="00880AA2" w:rsidRDefault="00880AA2" w:rsidP="00880AA2">
      <w:r>
        <w:t>36. Setzer ES, Ruiz-Castaneda N, Severn C, et al. Etiologic heterogeneity in the oculoauriculovertebral syndrome. J Pediatr 1981: 98: 88-90.</w:t>
      </w:r>
    </w:p>
    <w:p w:rsidR="00880AA2" w:rsidRDefault="00880AA2" w:rsidP="00880AA2"/>
    <w:p w:rsidR="00880AA2" w:rsidRDefault="00880AA2" w:rsidP="00880AA2">
      <w:r>
        <w:t>37. Aleksic S, et al. Congenital ophthalmoplegia in oculoauriculovertebral dysplasia in hemifacial microsomia (Goldenhar-Gorlin syndrome). Neurology 1976; 26: 638-44.</w:t>
      </w:r>
    </w:p>
    <w:p w:rsidR="00880AA2" w:rsidRDefault="00880AA2" w:rsidP="00880AA2"/>
    <w:p w:rsidR="00880AA2" w:rsidRDefault="00880AA2" w:rsidP="00880AA2">
      <w:r>
        <w:t>38. Aleksic S, et al. Encephalocele (cerebellocele) in the Goldenhar-Gorlin syndrome. Eur J Pediatr 1983; 140: 137-8.</w:t>
      </w:r>
    </w:p>
    <w:p w:rsidR="00880AA2" w:rsidRDefault="00880AA2" w:rsidP="00880AA2"/>
    <w:p w:rsidR="00880AA2" w:rsidRDefault="00880AA2" w:rsidP="00880AA2">
      <w:r>
        <w:lastRenderedPageBreak/>
        <w:t>39. Aleksic S, et al. Intracranial lipomas, hydrocephalus and other CNS anomalies in oculoauriculovertebral dysplasia (Goldenhar-Gorlin syndrome). Child's Brain 1984; 11: 285-97.</w:t>
      </w:r>
    </w:p>
    <w:p w:rsidR="00880AA2" w:rsidRDefault="00880AA2" w:rsidP="00880AA2"/>
    <w:p w:rsidR="00880AA2" w:rsidRDefault="00880AA2" w:rsidP="00880AA2">
      <w:r>
        <w:t>40. Pauli R, et al. Goldenhar association and cranial defects. Am J Med Genet 1983; 15: 177-9.</w:t>
      </w:r>
    </w:p>
    <w:p w:rsidR="00880AA2" w:rsidRDefault="00880AA2" w:rsidP="00880AA2"/>
    <w:p w:rsidR="00880AA2" w:rsidRDefault="00880AA2" w:rsidP="00880AA2">
      <w:r>
        <w:t>41. Wilson GN. Cranial defects in Goldenhar's syndrome. Am J Med Genet 1983; 14: 435-3.</w:t>
      </w:r>
    </w:p>
    <w:p w:rsidR="00880AA2" w:rsidRDefault="00880AA2" w:rsidP="00880AA2"/>
    <w:p w:rsidR="00F9745B" w:rsidRDefault="00880AA2" w:rsidP="00880AA2">
      <w:r>
        <w:t>42. Cherstvoy ED, Laziuk GI, Lur'ye IV, Ostrovskaya TI. The clinical and morphological features of the Goldenhar syndrome. Pediatriya 1978; 78: 18-20.</w:t>
      </w:r>
    </w:p>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p w:rsidR="00890A32" w:rsidRDefault="00890A32" w:rsidP="00880AA2">
      <w:r>
        <w:rPr>
          <w:noProof/>
        </w:rPr>
        <w:drawing>
          <wp:inline distT="0" distB="0" distL="0" distR="0" wp14:anchorId="4B2A9220" wp14:editId="27ACED77">
            <wp:extent cx="5943600" cy="266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668905"/>
                    </a:xfrm>
                    <a:prstGeom prst="rect">
                      <a:avLst/>
                    </a:prstGeom>
                  </pic:spPr>
                </pic:pic>
              </a:graphicData>
            </a:graphic>
          </wp:inline>
        </w:drawing>
      </w:r>
    </w:p>
    <w:p w:rsidR="00890A32" w:rsidRDefault="00890A32" w:rsidP="00880AA2"/>
    <w:p w:rsidR="00890A32" w:rsidRDefault="00890A32" w:rsidP="00880AA2"/>
    <w:p w:rsidR="00890A32" w:rsidRDefault="00C23F9B" w:rsidP="00880AA2">
      <w:r>
        <w:rPr>
          <w:noProof/>
        </w:rPr>
        <w:lastRenderedPageBreak/>
        <w:drawing>
          <wp:inline distT="0" distB="0" distL="0" distR="0" wp14:anchorId="42C3AF16" wp14:editId="2DBBEEBB">
            <wp:extent cx="5943600" cy="5752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5752465"/>
                    </a:xfrm>
                    <a:prstGeom prst="rect">
                      <a:avLst/>
                    </a:prstGeom>
                  </pic:spPr>
                </pic:pic>
              </a:graphicData>
            </a:graphic>
          </wp:inline>
        </w:drawing>
      </w:r>
    </w:p>
    <w:p w:rsidR="000B6403" w:rsidRDefault="000B6403" w:rsidP="00880AA2">
      <w:r>
        <w:rPr>
          <w:noProof/>
        </w:rPr>
        <w:lastRenderedPageBreak/>
        <w:drawing>
          <wp:inline distT="0" distB="0" distL="0" distR="0" wp14:anchorId="57C65A7C" wp14:editId="0CEE9923">
            <wp:extent cx="5943600" cy="5532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5532120"/>
                    </a:xfrm>
                    <a:prstGeom prst="rect">
                      <a:avLst/>
                    </a:prstGeom>
                  </pic:spPr>
                </pic:pic>
              </a:graphicData>
            </a:graphic>
          </wp:inline>
        </w:drawing>
      </w:r>
    </w:p>
    <w:p w:rsidR="000B6403" w:rsidRDefault="000B6403" w:rsidP="00880AA2"/>
    <w:p w:rsidR="000B6403" w:rsidRDefault="000B6403" w:rsidP="00880AA2"/>
    <w:p w:rsidR="000B6403" w:rsidRDefault="000B6403" w:rsidP="00880AA2"/>
    <w:p w:rsidR="004962D4" w:rsidRPr="004962D4" w:rsidRDefault="004962D4" w:rsidP="004962D4">
      <w:pPr>
        <w:spacing w:before="100" w:beforeAutospacing="1" w:after="100" w:afterAutospacing="1"/>
        <w:outlineLvl w:val="1"/>
        <w:rPr>
          <w:rFonts w:ascii="Arial" w:eastAsia="Times New Roman" w:hAnsi="Arial" w:cs="Arial"/>
          <w:b/>
          <w:bCs/>
          <w:color w:val="000000"/>
          <w:sz w:val="36"/>
          <w:szCs w:val="36"/>
        </w:rPr>
      </w:pPr>
      <w:r w:rsidRPr="004962D4">
        <w:rPr>
          <w:rFonts w:ascii="Arial" w:eastAsia="Times New Roman" w:hAnsi="Arial" w:cs="Arial"/>
          <w:b/>
          <w:bCs/>
          <w:color w:val="000000"/>
          <w:sz w:val="36"/>
          <w:szCs w:val="36"/>
        </w:rPr>
        <w:t>1.  Epilepsy and other chronic convulsive diseases: their causes, symptoms &amp; treatment,</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LCCN</w:t>
      </w:r>
    </w:p>
    <w:p w:rsidR="004962D4" w:rsidRPr="004962D4" w:rsidRDefault="004962D4" w:rsidP="004962D4">
      <w:pPr>
        <w:numPr>
          <w:ilvl w:val="0"/>
          <w:numId w:val="1"/>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64016332</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Type of material</w:t>
      </w:r>
    </w:p>
    <w:p w:rsidR="004962D4" w:rsidRPr="004962D4" w:rsidRDefault="004962D4" w:rsidP="004962D4">
      <w:pPr>
        <w:numPr>
          <w:ilvl w:val="0"/>
          <w:numId w:val="2"/>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Book</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lastRenderedPageBreak/>
        <w:t>Personal name</w:t>
      </w:r>
    </w:p>
    <w:p w:rsidR="004962D4" w:rsidRPr="004962D4" w:rsidRDefault="004962D4" w:rsidP="004962D4">
      <w:pPr>
        <w:numPr>
          <w:ilvl w:val="0"/>
          <w:numId w:val="3"/>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Gowers, W. R. (William Richard), 1845-1915.</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Main title</w:t>
      </w:r>
    </w:p>
    <w:p w:rsidR="004962D4" w:rsidRPr="004962D4" w:rsidRDefault="004962D4" w:rsidP="004962D4">
      <w:pPr>
        <w:numPr>
          <w:ilvl w:val="0"/>
          <w:numId w:val="4"/>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Epilepsy and other chronic convulsive diseases: their causes, symptoms &amp; treatment, by W. R. Gowers.</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Published/Created</w:t>
      </w:r>
    </w:p>
    <w:p w:rsidR="004962D4" w:rsidRPr="004962D4" w:rsidRDefault="004962D4" w:rsidP="004962D4">
      <w:pPr>
        <w:numPr>
          <w:ilvl w:val="0"/>
          <w:numId w:val="5"/>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New York, Dover Publications [1964]</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Description</w:t>
      </w:r>
    </w:p>
    <w:p w:rsidR="004962D4" w:rsidRPr="004962D4" w:rsidRDefault="004962D4" w:rsidP="004962D4">
      <w:pPr>
        <w:numPr>
          <w:ilvl w:val="0"/>
          <w:numId w:val="6"/>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xi, 255 p. illus. 22 cm.</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LC classification</w:t>
      </w:r>
    </w:p>
    <w:p w:rsidR="004962D4" w:rsidRPr="004962D4" w:rsidRDefault="004962D4" w:rsidP="004962D4">
      <w:pPr>
        <w:numPr>
          <w:ilvl w:val="0"/>
          <w:numId w:val="7"/>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RC372 .G67 1964</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Subjects</w:t>
      </w:r>
    </w:p>
    <w:p w:rsidR="004962D4" w:rsidRPr="004962D4" w:rsidRDefault="004962D4" w:rsidP="004962D4">
      <w:pPr>
        <w:numPr>
          <w:ilvl w:val="0"/>
          <w:numId w:val="8"/>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Epilepsy.</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Notes</w:t>
      </w:r>
    </w:p>
    <w:p w:rsidR="004962D4" w:rsidRPr="004962D4" w:rsidRDefault="004962D4" w:rsidP="004962D4">
      <w:pPr>
        <w:numPr>
          <w:ilvl w:val="0"/>
          <w:numId w:val="9"/>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"S1164."</w:t>
      </w:r>
    </w:p>
    <w:p w:rsidR="004962D4" w:rsidRPr="004962D4" w:rsidRDefault="004962D4" w:rsidP="004962D4">
      <w:pPr>
        <w:numPr>
          <w:ilvl w:val="0"/>
          <w:numId w:val="9"/>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Bibliographical footnotes.</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Series</w:t>
      </w:r>
    </w:p>
    <w:p w:rsidR="004962D4" w:rsidRPr="004962D4" w:rsidRDefault="004962D4" w:rsidP="004962D4">
      <w:pPr>
        <w:numPr>
          <w:ilvl w:val="0"/>
          <w:numId w:val="10"/>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American Academy of Neurology. Reprint series, v. 1</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Other system no.</w:t>
      </w:r>
    </w:p>
    <w:p w:rsidR="004962D4" w:rsidRPr="004962D4" w:rsidRDefault="004962D4" w:rsidP="004962D4">
      <w:pPr>
        <w:numPr>
          <w:ilvl w:val="0"/>
          <w:numId w:val="11"/>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(OCoLC)2146980</w:t>
      </w:r>
    </w:p>
    <w:p w:rsidR="004962D4" w:rsidRPr="004962D4" w:rsidRDefault="004962D4" w:rsidP="004962D4">
      <w:pP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pict>
          <v:rect id="_x0000_i1025" style="width:0;height:1.5pt" o:hralign="center" o:hrstd="t" o:hrnoshade="t" o:hr="t" fillcolor="black" stroked="f"/>
        </w:pic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Shelf Location</w:t>
      </w:r>
    </w:p>
    <w:p w:rsidR="004962D4" w:rsidRPr="004962D4" w:rsidRDefault="004962D4" w:rsidP="004962D4">
      <w:pPr>
        <w:numPr>
          <w:ilvl w:val="0"/>
          <w:numId w:val="12"/>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FLS2015 011312</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CALL NUMBER</w:t>
      </w:r>
    </w:p>
    <w:p w:rsidR="004962D4" w:rsidRPr="004962D4" w:rsidRDefault="004962D4" w:rsidP="004962D4">
      <w:pPr>
        <w:numPr>
          <w:ilvl w:val="0"/>
          <w:numId w:val="13"/>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RC372 .G67 1964 OVERFLOWJ34</w:t>
      </w:r>
    </w:p>
    <w:p w:rsidR="004962D4" w:rsidRPr="004962D4" w:rsidRDefault="004962D4" w:rsidP="004962D4">
      <w:pPr>
        <w:spacing w:before="100" w:beforeAutospacing="1" w:after="100" w:afterAutospacing="1"/>
        <w:outlineLvl w:val="2"/>
        <w:rPr>
          <w:rFonts w:ascii="Arial" w:eastAsia="Times New Roman" w:hAnsi="Arial" w:cs="Arial"/>
          <w:b/>
          <w:bCs/>
          <w:color w:val="000000"/>
          <w:sz w:val="18"/>
          <w:szCs w:val="18"/>
        </w:rPr>
      </w:pPr>
      <w:r w:rsidRPr="004962D4">
        <w:rPr>
          <w:rFonts w:ascii="Arial" w:eastAsia="Times New Roman" w:hAnsi="Arial" w:cs="Arial"/>
          <w:b/>
          <w:bCs/>
          <w:color w:val="000000"/>
          <w:sz w:val="18"/>
          <w:szCs w:val="18"/>
        </w:rPr>
        <w:t>Request in</w:t>
      </w:r>
    </w:p>
    <w:p w:rsidR="004962D4" w:rsidRPr="004962D4" w:rsidRDefault="004962D4" w:rsidP="004962D4">
      <w:pPr>
        <w:numPr>
          <w:ilvl w:val="0"/>
          <w:numId w:val="14"/>
        </w:numPr>
        <w:spacing w:before="100" w:beforeAutospacing="1" w:after="100" w:afterAutospacing="1"/>
        <w:rPr>
          <w:rFonts w:ascii="Arial" w:eastAsia="Times New Roman" w:hAnsi="Arial" w:cs="Arial"/>
          <w:color w:val="000000"/>
          <w:sz w:val="18"/>
          <w:szCs w:val="18"/>
        </w:rPr>
      </w:pPr>
      <w:r w:rsidRPr="004962D4">
        <w:rPr>
          <w:rFonts w:ascii="Arial" w:eastAsia="Times New Roman" w:hAnsi="Arial" w:cs="Arial"/>
          <w:color w:val="000000"/>
          <w:sz w:val="18"/>
          <w:szCs w:val="18"/>
        </w:rPr>
        <w:t>Jefferson or Adams Building Reading Rooms (FLS2)</w:t>
      </w:r>
    </w:p>
    <w:p w:rsidR="000B6403" w:rsidRDefault="000B6403" w:rsidP="00880AA2"/>
    <w:p w:rsidR="004962D4" w:rsidRDefault="004962D4" w:rsidP="00880AA2"/>
    <w:p w:rsidR="004962D4" w:rsidRDefault="001671A4" w:rsidP="00880AA2">
      <w:r w:rsidRPr="001671A4">
        <w:t xml:space="preserve">facial seizures adults tongue tingling -children -stroke -tia -lyme </w:t>
      </w:r>
      <w:r>
        <w:t>–</w:t>
      </w:r>
      <w:r w:rsidRPr="001671A4">
        <w:t>ms</w:t>
      </w:r>
    </w:p>
    <w:p w:rsidR="001671A4" w:rsidRDefault="001671A4" w:rsidP="00880AA2">
      <w:r w:rsidRPr="001671A4">
        <w:t xml:space="preserve">facial seizures adults tongue tingling -children -stroke -tia -lyme </w:t>
      </w:r>
      <w:r>
        <w:t>–</w:t>
      </w:r>
      <w:r w:rsidRPr="001671A4">
        <w:t>ms</w:t>
      </w:r>
    </w:p>
    <w:p w:rsidR="001671A4" w:rsidRDefault="001671A4" w:rsidP="00880AA2"/>
    <w:p w:rsidR="00B60EC3" w:rsidRDefault="00B60EC3" w:rsidP="00880AA2"/>
    <w:p w:rsidR="00B60EC3" w:rsidRDefault="00B60EC3" w:rsidP="00880AA2"/>
    <w:p w:rsidR="00B60EC3" w:rsidRDefault="00B60EC3" w:rsidP="00880AA2"/>
    <w:p w:rsidR="00B60EC3" w:rsidRDefault="00B60EC3" w:rsidP="00880AA2"/>
    <w:p w:rsidR="00B60EC3" w:rsidRDefault="00B60EC3" w:rsidP="00880AA2"/>
    <w:p w:rsidR="00B60EC3" w:rsidRDefault="00B60EC3" w:rsidP="00880AA2">
      <w:hyperlink r:id="rId10" w:history="1">
        <w:r w:rsidRPr="002B552F">
          <w:rPr>
            <w:rStyle w:val="Hyperlink"/>
          </w:rPr>
          <w:t>http://academic.sun.ac.za/stellmed/articles/basic_sciences/an10630.htm</w:t>
        </w:r>
      </w:hyperlink>
    </w:p>
    <w:p w:rsidR="00B60EC3" w:rsidRDefault="00B60EC3" w:rsidP="00880AA2"/>
    <w:p w:rsidR="00B60EC3" w:rsidRDefault="00B60EC3" w:rsidP="00880AA2"/>
    <w:p w:rsidR="007B5DE0" w:rsidRPr="007B5DE0" w:rsidRDefault="007B5DE0" w:rsidP="007B5DE0">
      <w:pPr>
        <w:outlineLvl w:val="0"/>
        <w:rPr>
          <w:rFonts w:ascii="Arial" w:eastAsia="Times New Roman" w:hAnsi="Arial" w:cs="Arial"/>
          <w:b/>
          <w:bCs/>
          <w:color w:val="000000"/>
          <w:kern w:val="36"/>
          <w:sz w:val="20"/>
          <w:szCs w:val="20"/>
        </w:rPr>
      </w:pPr>
      <w:r w:rsidRPr="007B5DE0">
        <w:rPr>
          <w:rFonts w:ascii="Times New Roman" w:eastAsia="Times New Roman" w:hAnsi="Times New Roman" w:cs="Times New Roman"/>
          <w:b/>
          <w:bCs/>
          <w:caps/>
          <w:color w:val="000000"/>
          <w:kern w:val="36"/>
          <w:sz w:val="28"/>
          <w:szCs w:val="28"/>
        </w:rPr>
        <w:t>POISONOUS AND VENOMOUS MARINE ANIMALS</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27"/>
          <w:szCs w:val="27"/>
        </w:rPr>
        <w:t> </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b/>
          <w:bCs/>
          <w:i/>
          <w:iCs/>
          <w:color w:val="000000"/>
        </w:rPr>
        <w:t>Paralytic shellfish poisoning (PSP) is caused by ingestion of mussels that have concentrated the poison, saxitoxin, produced by the “red tide” dinoflagellate Alexandrium catenella.  In severe cases, progressive muscular paralysis, with pronounced respiratory difficulty develops.  Scombroid poisoning is caused by the consumption of “spoiled” fish, which has undergone autolytic changes as a result of improper storage conditions.  It resembles a histamine-like or acute allergic reaction.  Venomous marine animals may inflict injury by means of bites, stings or simply by direct contact.  Secondary infection is a common complication. </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27"/>
          <w:szCs w:val="27"/>
        </w:rPr>
        <w:t> </w:t>
      </w:r>
    </w:p>
    <w:p w:rsidR="007B5DE0" w:rsidRPr="007B5DE0" w:rsidRDefault="007B5DE0" w:rsidP="007B5DE0">
      <w:pPr>
        <w:jc w:val="both"/>
        <w:outlineLvl w:val="0"/>
        <w:rPr>
          <w:rFonts w:ascii="Arial" w:eastAsia="Times New Roman" w:hAnsi="Arial" w:cs="Arial"/>
          <w:b/>
          <w:bCs/>
          <w:color w:val="000000"/>
          <w:kern w:val="36"/>
          <w:sz w:val="20"/>
          <w:szCs w:val="20"/>
        </w:rPr>
      </w:pPr>
      <w:r w:rsidRPr="007B5DE0">
        <w:rPr>
          <w:rFonts w:ascii="Arial" w:eastAsia="Times New Roman" w:hAnsi="Arial" w:cs="Arial"/>
          <w:b/>
          <w:bCs/>
          <w:color w:val="000000"/>
          <w:kern w:val="36"/>
          <w:sz w:val="18"/>
          <w:szCs w:val="18"/>
          <w:u w:val="single"/>
        </w:rPr>
        <w:t>Poisonous marine animals</w:t>
      </w:r>
    </w:p>
    <w:p w:rsidR="007B5DE0" w:rsidRPr="007B5DE0" w:rsidRDefault="007B5DE0" w:rsidP="007B5DE0">
      <w:pPr>
        <w:jc w:val="both"/>
        <w:outlineLvl w:val="0"/>
        <w:rPr>
          <w:rFonts w:ascii="Arial" w:eastAsia="Times New Roman" w:hAnsi="Arial" w:cs="Arial"/>
          <w:b/>
          <w:bCs/>
          <w:color w:val="000000"/>
          <w:kern w:val="36"/>
          <w:sz w:val="20"/>
          <w:szCs w:val="20"/>
        </w:rPr>
      </w:pPr>
      <w:r w:rsidRPr="007B5DE0">
        <w:rPr>
          <w:rFonts w:ascii="Arial" w:eastAsia="Times New Roman" w:hAnsi="Arial" w:cs="Arial"/>
          <w:b/>
          <w:bCs/>
          <w:color w:val="000000"/>
          <w:kern w:val="36"/>
          <w:sz w:val="18"/>
          <w:szCs w:val="18"/>
        </w:rPr>
        <w:t>Red tides:  Toxic dinoflagellates</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18"/>
          <w:szCs w:val="18"/>
        </w:rPr>
        <w:t>Dinoflagellate blooms (red tides) are regular seasonal phenomena occurring on the West Coast of South Africa.  These blooms may discolour the sea to various shades of brown, orange, purple, yellow or red.  These planktonic algae are food for filter-feeding bivalve shellfish (mussels, oysters, clams, etc.).  The majority of dinoflagellates are non-toxic, but toxin-producing species, such as </w:t>
      </w:r>
      <w:r w:rsidRPr="007B5DE0">
        <w:rPr>
          <w:rFonts w:ascii="Arial" w:eastAsia="Times New Roman" w:hAnsi="Arial" w:cs="Arial"/>
          <w:i/>
          <w:iCs/>
          <w:color w:val="000000"/>
          <w:sz w:val="18"/>
          <w:szCs w:val="18"/>
        </w:rPr>
        <w:t>Alexandrium catenella</w:t>
      </w:r>
      <w:r w:rsidRPr="007B5DE0">
        <w:rPr>
          <w:rFonts w:ascii="Arial" w:eastAsia="Times New Roman" w:hAnsi="Arial" w:cs="Arial"/>
          <w:color w:val="000000"/>
          <w:sz w:val="18"/>
          <w:szCs w:val="18"/>
        </w:rPr>
        <w:t> and </w:t>
      </w:r>
      <w:r w:rsidRPr="007B5DE0">
        <w:rPr>
          <w:rFonts w:ascii="Arial" w:eastAsia="Times New Roman" w:hAnsi="Arial" w:cs="Arial"/>
          <w:i/>
          <w:iCs/>
          <w:color w:val="000000"/>
          <w:sz w:val="18"/>
          <w:szCs w:val="18"/>
        </w:rPr>
        <w:t>Dinophysis acuminata</w:t>
      </w:r>
      <w:r w:rsidRPr="007B5DE0">
        <w:rPr>
          <w:rFonts w:ascii="Arial" w:eastAsia="Times New Roman" w:hAnsi="Arial" w:cs="Arial"/>
          <w:color w:val="000000"/>
          <w:sz w:val="18"/>
          <w:szCs w:val="18"/>
        </w:rPr>
        <w:t>, occur locally.  Mussels and other bivalve shellfish strain these from the water, digest them, and accumulate their poison.  The shellfish do not seem to be harmed by the poison, but become toxic to humans when eaten.  Three different types of shellfish poisoning occur locally.</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18"/>
          <w:szCs w:val="18"/>
        </w:rPr>
        <w:t> </w:t>
      </w:r>
    </w:p>
    <w:p w:rsidR="007B5DE0" w:rsidRPr="007B5DE0" w:rsidRDefault="007B5DE0" w:rsidP="007B5DE0">
      <w:pPr>
        <w:rPr>
          <w:rFonts w:ascii="Arial" w:eastAsia="Times New Roman" w:hAnsi="Arial" w:cs="Arial"/>
          <w:color w:val="000000"/>
          <w:sz w:val="18"/>
          <w:szCs w:val="18"/>
        </w:rPr>
      </w:pPr>
      <w:r w:rsidRPr="007B5DE0">
        <w:rPr>
          <w:rFonts w:ascii="Arial" w:eastAsia="Times New Roman" w:hAnsi="Arial" w:cs="Arial"/>
          <w:b/>
          <w:bCs/>
          <w:color w:val="000000"/>
          <w:sz w:val="18"/>
          <w:szCs w:val="18"/>
        </w:rPr>
        <w:t>Paralytic shellfish poisoning (PSP)</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18"/>
          <w:szCs w:val="18"/>
        </w:rPr>
        <w:t>It is caused by ingestion of mussels that have concentrated the poison, saxitoxin, produced by </w:t>
      </w:r>
      <w:r w:rsidRPr="007B5DE0">
        <w:rPr>
          <w:rFonts w:ascii="Arial" w:eastAsia="Times New Roman" w:hAnsi="Arial" w:cs="Arial"/>
          <w:i/>
          <w:iCs/>
          <w:color w:val="000000"/>
          <w:sz w:val="18"/>
          <w:szCs w:val="18"/>
        </w:rPr>
        <w:t>Alexandrium catenella</w:t>
      </w:r>
      <w:r w:rsidRPr="007B5DE0">
        <w:rPr>
          <w:rFonts w:ascii="Arial" w:eastAsia="Times New Roman" w:hAnsi="Arial" w:cs="Arial"/>
          <w:color w:val="000000"/>
          <w:sz w:val="18"/>
          <w:szCs w:val="18"/>
        </w:rPr>
        <w:t>.  Saxitoxin blocks voltage-dependent sodium channels, causing inhibition of nerve impulse conduction and transmission, which may ultimately lead to neuromuscular paralysis.  Saxitoxin is heat stable and will therefore remain unaltered by standard cooking or steaming.</w:t>
      </w:r>
    </w:p>
    <w:p w:rsidR="007B5DE0" w:rsidRPr="007B5DE0" w:rsidRDefault="007B5DE0" w:rsidP="007B5DE0">
      <w:pPr>
        <w:rPr>
          <w:rFonts w:ascii="Times New Roman" w:eastAsia="Times New Roman" w:hAnsi="Times New Roman" w:cs="Times New Roman"/>
          <w:b/>
          <w:color w:val="000000"/>
          <w:sz w:val="27"/>
          <w:szCs w:val="27"/>
        </w:rPr>
      </w:pPr>
      <w:r w:rsidRPr="007B5DE0">
        <w:rPr>
          <w:rFonts w:ascii="Arial" w:eastAsia="Times New Roman" w:hAnsi="Arial" w:cs="Arial"/>
          <w:b/>
          <w:color w:val="000000"/>
          <w:sz w:val="18"/>
          <w:szCs w:val="18"/>
        </w:rPr>
        <w:t> </w:t>
      </w:r>
    </w:p>
    <w:p w:rsidR="007B5DE0" w:rsidRPr="007B5DE0" w:rsidRDefault="007B5DE0" w:rsidP="007B5DE0">
      <w:pPr>
        <w:outlineLvl w:val="3"/>
        <w:rPr>
          <w:rFonts w:ascii="Arial" w:eastAsia="Times New Roman" w:hAnsi="Arial" w:cs="Arial"/>
          <w:b/>
          <w:bCs/>
          <w:i/>
          <w:iCs/>
          <w:color w:val="000000"/>
          <w:sz w:val="18"/>
          <w:szCs w:val="18"/>
          <w:highlight w:val="yellow"/>
        </w:rPr>
      </w:pPr>
      <w:r w:rsidRPr="007B5DE0">
        <w:rPr>
          <w:rFonts w:ascii="Arial" w:eastAsia="Times New Roman" w:hAnsi="Arial" w:cs="Arial"/>
          <w:b/>
          <w:bCs/>
          <w:i/>
          <w:iCs/>
          <w:color w:val="000000"/>
          <w:sz w:val="18"/>
          <w:szCs w:val="18"/>
          <w:highlight w:val="yellow"/>
        </w:rPr>
        <w:t>Clinical features</w:t>
      </w:r>
    </w:p>
    <w:p w:rsidR="007B5DE0" w:rsidRPr="007B5DE0" w:rsidRDefault="007B5DE0" w:rsidP="007B5DE0">
      <w:pPr>
        <w:rPr>
          <w:rFonts w:ascii="Times New Roman" w:eastAsia="Times New Roman" w:hAnsi="Times New Roman" w:cs="Times New Roman"/>
          <w:b/>
          <w:color w:val="000000"/>
          <w:sz w:val="27"/>
          <w:szCs w:val="27"/>
        </w:rPr>
      </w:pPr>
      <w:r w:rsidRPr="007B5DE0">
        <w:rPr>
          <w:rFonts w:ascii="Arial" w:eastAsia="Times New Roman" w:hAnsi="Arial" w:cs="Arial"/>
          <w:b/>
          <w:color w:val="000000"/>
          <w:sz w:val="18"/>
          <w:szCs w:val="18"/>
          <w:highlight w:val="yellow"/>
        </w:rPr>
        <w:t>Within 30 minutes to 2 hours after ingestion, a tingling sensation (paraesthesia) or numbness occurs around the lips, gradually spreading to the face and neck; a prickly sensation develops in fingertips and toes.  Headache, dizziness, a floating or gliding sensation, nystagmus, vertigo, visual disturbances, dysphagia and dysarthria are also commonly experienced.  There is general weakness of the legs and, if the patient is able to walk at all, he or she does so ataxically in a gait similar to that seen in alcohol intoxication.  Although nausea and vomiting, abdominal pain and diarrhoea have been reported, these symptoms are not common.</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18"/>
          <w:szCs w:val="18"/>
        </w:rPr>
        <w:t> </w:t>
      </w:r>
    </w:p>
    <w:p w:rsidR="007B5DE0" w:rsidRPr="007B5DE0" w:rsidRDefault="007B5DE0" w:rsidP="007B5DE0">
      <w:pPr>
        <w:rPr>
          <w:rFonts w:ascii="Times New Roman" w:eastAsia="Times New Roman" w:hAnsi="Times New Roman" w:cs="Times New Roman"/>
          <w:color w:val="000000"/>
          <w:sz w:val="27"/>
          <w:szCs w:val="27"/>
        </w:rPr>
      </w:pPr>
      <w:r w:rsidRPr="007B5DE0">
        <w:rPr>
          <w:rFonts w:ascii="Arial" w:eastAsia="Times New Roman" w:hAnsi="Arial" w:cs="Arial"/>
          <w:color w:val="000000"/>
          <w:sz w:val="18"/>
          <w:szCs w:val="18"/>
        </w:rPr>
        <w:t>In severe cases, progressive muscular paralysis, with pronounced respiratory difficulty develops.  Tachycardia, T-wave changes on the ECG, and occasionally hypotension, have been reported.  Death due to respiratory failure may occur within 2-24 hours after ingestion. The toxic effect of saxitoxin is completely reversible and symptoms and signs normally clear within 36-48 hours.</w:t>
      </w:r>
    </w:p>
    <w:p w:rsidR="00B60EC3" w:rsidRDefault="00B60EC3"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Default="000E5729" w:rsidP="00880AA2"/>
    <w:p w:rsidR="000E5729" w:rsidRPr="000E5729" w:rsidRDefault="000E5729" w:rsidP="000E5729">
      <w:pPr>
        <w:shd w:val="clear" w:color="auto" w:fill="FFFFFF"/>
        <w:spacing w:before="100" w:beforeAutospacing="1" w:after="100" w:afterAutospacing="1"/>
        <w:jc w:val="both"/>
        <w:textAlignment w:val="baseline"/>
        <w:outlineLvl w:val="2"/>
        <w:rPr>
          <w:rFonts w:ascii="Times New Roman" w:eastAsia="Times New Roman" w:hAnsi="Times New Roman" w:cs="Times New Roman"/>
          <w:b/>
          <w:bCs/>
          <w:color w:val="000000"/>
          <w:sz w:val="27"/>
          <w:szCs w:val="27"/>
        </w:rPr>
      </w:pPr>
      <w:r w:rsidRPr="000E5729">
        <w:rPr>
          <w:rFonts w:ascii="Times New Roman" w:eastAsia="Times New Roman" w:hAnsi="Times New Roman" w:cs="Times New Roman"/>
          <w:b/>
          <w:bCs/>
          <w:color w:val="000000"/>
          <w:sz w:val="27"/>
          <w:szCs w:val="27"/>
        </w:rPr>
        <w:t>Partial Sensory Seizures</w:t>
      </w:r>
    </w:p>
    <w:p w:rsidR="000E5729" w:rsidRPr="000E5729" w:rsidRDefault="000E5729" w:rsidP="000E5729">
      <w:pPr>
        <w:shd w:val="clear" w:color="auto" w:fill="FFFFFF"/>
        <w:spacing w:before="100" w:beforeAutospacing="1" w:after="100" w:afterAutospacing="1"/>
        <w:jc w:val="both"/>
        <w:textAlignment w:val="baseline"/>
        <w:rPr>
          <w:rFonts w:ascii="Helvetica" w:eastAsia="Times New Roman" w:hAnsi="Helvetica" w:cs="Helvetica"/>
          <w:color w:val="000000"/>
          <w:sz w:val="21"/>
          <w:szCs w:val="21"/>
        </w:rPr>
      </w:pPr>
      <w:r w:rsidRPr="000E5729">
        <w:rPr>
          <w:rFonts w:ascii="Helvetica" w:eastAsia="Times New Roman" w:hAnsi="Helvetica" w:cs="Helvetica"/>
          <w:color w:val="000000"/>
          <w:sz w:val="21"/>
          <w:szCs w:val="21"/>
        </w:rPr>
        <w:t>These seizures originate in the sensory cortex.</w:t>
      </w:r>
    </w:p>
    <w:p w:rsidR="000E5729" w:rsidRPr="000E5729" w:rsidRDefault="000E5729" w:rsidP="000E5729">
      <w:pPr>
        <w:numPr>
          <w:ilvl w:val="0"/>
          <w:numId w:val="15"/>
        </w:numPr>
        <w:shd w:val="clear" w:color="auto" w:fill="FFFFFF"/>
        <w:jc w:val="both"/>
        <w:textAlignment w:val="baseline"/>
        <w:rPr>
          <w:rFonts w:ascii="inherit" w:eastAsia="Times New Roman" w:hAnsi="inherit" w:cs="Helvetica"/>
          <w:color w:val="000000"/>
          <w:sz w:val="21"/>
          <w:szCs w:val="21"/>
        </w:rPr>
      </w:pPr>
      <w:r w:rsidRPr="000E5729">
        <w:rPr>
          <w:rFonts w:ascii="inherit" w:eastAsia="Times New Roman" w:hAnsi="inherit" w:cs="Helvetica"/>
          <w:color w:val="000000"/>
          <w:sz w:val="21"/>
          <w:szCs w:val="21"/>
        </w:rPr>
        <w:t>Usually cause sharp tingling sensations in the face, arms, and legs of the opposite side.</w:t>
      </w:r>
    </w:p>
    <w:p w:rsidR="000E5729" w:rsidRPr="000E5729" w:rsidRDefault="000E5729" w:rsidP="000E5729">
      <w:pPr>
        <w:numPr>
          <w:ilvl w:val="0"/>
          <w:numId w:val="15"/>
        </w:numPr>
        <w:shd w:val="clear" w:color="auto" w:fill="FFFFFF"/>
        <w:jc w:val="both"/>
        <w:textAlignment w:val="baseline"/>
        <w:rPr>
          <w:rFonts w:ascii="inherit" w:eastAsia="Times New Roman" w:hAnsi="inherit" w:cs="Helvetica"/>
          <w:color w:val="000000"/>
          <w:sz w:val="21"/>
          <w:szCs w:val="21"/>
        </w:rPr>
      </w:pPr>
      <w:r w:rsidRPr="000E5729">
        <w:rPr>
          <w:rFonts w:ascii="inherit" w:eastAsia="Times New Roman" w:hAnsi="inherit" w:cs="Helvetica"/>
          <w:color w:val="000000"/>
          <w:sz w:val="21"/>
          <w:szCs w:val="21"/>
        </w:rPr>
        <w:t>The sensation may spread as in a Jacksonian seizure but will do so very rapidly.</w:t>
      </w:r>
    </w:p>
    <w:p w:rsidR="000E5729" w:rsidRDefault="000E5729" w:rsidP="00880AA2"/>
    <w:p w:rsidR="000E5729" w:rsidRDefault="000E5729" w:rsidP="00880AA2"/>
    <w:p w:rsidR="000E5729" w:rsidRDefault="000E5729" w:rsidP="00880AA2"/>
    <w:p w:rsidR="000E5729" w:rsidRDefault="000E5729" w:rsidP="00880AA2"/>
    <w:p w:rsidR="00483CF3" w:rsidRDefault="00483CF3" w:rsidP="00880AA2"/>
    <w:p w:rsidR="00483CF3" w:rsidRDefault="00483CF3" w:rsidP="00880AA2">
      <w:r w:rsidRPr="00483CF3">
        <w:t xml:space="preserve">"face" "seizures" adults "tongue" "tingling" -children -stroke -tia -lyme -ms -menopause </w:t>
      </w:r>
      <w:r>
        <w:t>–</w:t>
      </w:r>
      <w:r w:rsidRPr="00483CF3">
        <w:t>tmj</w:t>
      </w:r>
    </w:p>
    <w:p w:rsidR="00483CF3" w:rsidRDefault="00483CF3" w:rsidP="00880AA2">
      <w:r w:rsidRPr="00483CF3">
        <w:t xml:space="preserve">"face" "seizures" adults "tongue" "tingling" -children -stroke -tia -lyme -ms -menopause </w:t>
      </w:r>
      <w:r>
        <w:t>–</w:t>
      </w:r>
      <w:r w:rsidRPr="00483CF3">
        <w:t>tmj</w:t>
      </w:r>
    </w:p>
    <w:p w:rsidR="00483CF3" w:rsidRDefault="00483CF3" w:rsidP="00880AA2">
      <w:r w:rsidRPr="00483CF3">
        <w:t xml:space="preserve">"face" "seizures" adults "tongue" "tingling" -children -stroke -tia -lyme -ms -menopause </w:t>
      </w:r>
      <w:r>
        <w:t>–</w:t>
      </w:r>
      <w:r w:rsidRPr="00483CF3">
        <w:t>tmj</w:t>
      </w:r>
    </w:p>
    <w:p w:rsidR="00483CF3" w:rsidRDefault="00483CF3" w:rsidP="00880AA2"/>
    <w:p w:rsidR="000D61FC" w:rsidRDefault="000D61FC">
      <w:r>
        <w:br w:type="page"/>
      </w:r>
    </w:p>
    <w:p w:rsidR="00483CF3" w:rsidRDefault="00483CF3" w:rsidP="00880AA2"/>
    <w:p w:rsidR="00483CF3" w:rsidRDefault="00483CF3" w:rsidP="00880AA2"/>
    <w:p w:rsidR="00D66E96" w:rsidRDefault="000D61FC" w:rsidP="00880AA2">
      <w:hyperlink r:id="rId11" w:history="1">
        <w:r w:rsidRPr="002B552F">
          <w:rPr>
            <w:rStyle w:val="Hyperlink"/>
          </w:rPr>
          <w:t>http://cancergrace.org/forums/index.php?topic=1751.0</w:t>
        </w:r>
      </w:hyperlink>
    </w:p>
    <w:p w:rsidR="000D61FC" w:rsidRDefault="000D61FC" w:rsidP="00880AA2"/>
    <w:p w:rsidR="00D66E96" w:rsidRDefault="00D66E96" w:rsidP="00880AA2"/>
    <w:p w:rsidR="00D66E96" w:rsidRDefault="00D66E96" w:rsidP="00880AA2"/>
    <w:p w:rsidR="00D66E96" w:rsidRDefault="00D66E96" w:rsidP="00880AA2"/>
    <w:p w:rsidR="00D66E96" w:rsidRPr="00D66E96" w:rsidRDefault="00D66E96" w:rsidP="00D66E96">
      <w:pPr>
        <w:spacing w:line="336" w:lineRule="atLeast"/>
        <w:rPr>
          <w:rFonts w:ascii="Times New Roman" w:eastAsia="Times New Roman" w:hAnsi="Times New Roman" w:cs="Times New Roman"/>
          <w:sz w:val="24"/>
          <w:szCs w:val="24"/>
        </w:rPr>
      </w:pPr>
      <w:r w:rsidRPr="00D66E96">
        <w:rPr>
          <w:rFonts w:ascii="Times New Roman" w:eastAsia="Times New Roman" w:hAnsi="Times New Roman" w:cs="Times New Roman"/>
          <w:sz w:val="24"/>
          <w:szCs w:val="24"/>
        </w:rPr>
        <w:t>  There are a few different things that come to my mind when I hear a patient tell me about pain and tingling in the face, with the nose congestion.  Starting literally at the top of the body, I would wonder about a brain metastasis or cancer involvement of the lining around the outside of the brain (called leptomeningeal involvement).  Although a CT may help, it may not pick up small tumors and is not good at finding leptomeningeal involvement.  An MRI is really the imaging study that is used to look for those problems.</w:t>
      </w:r>
      <w:r w:rsidRPr="00D66E96">
        <w:rPr>
          <w:rFonts w:ascii="Times New Roman" w:eastAsia="Times New Roman" w:hAnsi="Times New Roman" w:cs="Times New Roman"/>
          <w:sz w:val="24"/>
          <w:szCs w:val="24"/>
        </w:rPr>
        <w:br/>
        <w:t>  It sounds like your doctors have ruled out a major sinus infection, although sometimes a viral sinus infection might produce thick mucus from the nose without too much swelling on a CT scan.</w:t>
      </w:r>
      <w:r w:rsidRPr="00D66E96">
        <w:rPr>
          <w:rFonts w:ascii="Times New Roman" w:eastAsia="Times New Roman" w:hAnsi="Times New Roman" w:cs="Times New Roman"/>
          <w:sz w:val="24"/>
          <w:szCs w:val="24"/>
        </w:rPr>
        <w:br/>
        <w:t>  I would also wonder about a problem farther down, in the chest.  Sometimes patients can have tumor pressure (most commonly from swollen lymph nodes in the center of the chest) that squeezes the major blood vein returning blood to the heart from the upper body (the superior vena cava, or SVC).  This can cause rapid-onset one-sided facial pain, swelling, redness, tenderness, swollen nose, etc.  </w:t>
      </w:r>
      <w:r w:rsidRPr="00D66E96">
        <w:rPr>
          <w:rFonts w:ascii="Times New Roman" w:eastAsia="Times New Roman" w:hAnsi="Times New Roman" w:cs="Times New Roman"/>
          <w:sz w:val="24"/>
          <w:szCs w:val="24"/>
        </w:rPr>
        <w:br/>
      </w:r>
      <w:r w:rsidRPr="00D66E96">
        <w:rPr>
          <w:rFonts w:ascii="Times New Roman" w:eastAsia="Times New Roman" w:hAnsi="Times New Roman" w:cs="Times New Roman"/>
          <w:sz w:val="24"/>
          <w:szCs w:val="24"/>
        </w:rPr>
        <w:br/>
        <w:t>  It is a good sign that the nasal mucus improved with the antibiotics.  I would be advising my patient in a situation such as this that if anything were getting worse, I would want to know right away.  This is definitely something to monitor and keep the doctor aware of the progress.</w:t>
      </w:r>
      <w:r w:rsidRPr="00D66E96">
        <w:rPr>
          <w:rFonts w:ascii="Times New Roman" w:eastAsia="Times New Roman" w:hAnsi="Times New Roman" w:cs="Times New Roman"/>
          <w:sz w:val="24"/>
          <w:szCs w:val="24"/>
        </w:rPr>
        <w:br/>
      </w:r>
      <w:r w:rsidRPr="00D66E96">
        <w:rPr>
          <w:rFonts w:ascii="Times New Roman" w:eastAsia="Times New Roman" w:hAnsi="Times New Roman" w:cs="Times New Roman"/>
          <w:sz w:val="24"/>
          <w:szCs w:val="24"/>
        </w:rPr>
        <w:br/>
        <w:t>  I hope this helps, and that with the antibiotics things improve on their own.</w:t>
      </w:r>
    </w:p>
    <w:p w:rsidR="00D66E96" w:rsidRDefault="00D66E96" w:rsidP="00880AA2"/>
    <w:p w:rsidR="00D66E96" w:rsidRDefault="00D66E96" w:rsidP="00880AA2"/>
    <w:p w:rsidR="005E78FB" w:rsidRDefault="005E78FB" w:rsidP="00880AA2"/>
    <w:p w:rsidR="005E78FB" w:rsidRDefault="005E78FB" w:rsidP="00880AA2">
      <w:r w:rsidRPr="005E78FB">
        <w:t xml:space="preserve">"face" "seizures" adults "tongue" "tingling" -lupus -children -stroke -tia -lyme -ms -menopause </w:t>
      </w:r>
      <w:r>
        <w:t>–</w:t>
      </w:r>
      <w:r w:rsidRPr="005E78FB">
        <w:t>tmj</w:t>
      </w:r>
    </w:p>
    <w:p w:rsidR="005E78FB" w:rsidRDefault="005E78FB" w:rsidP="00880AA2">
      <w:r w:rsidRPr="005E78FB">
        <w:t xml:space="preserve">"face" "seizures" adults "tongue" "tingling" -lupus -children -stroke -tia -lyme -ms -menopause </w:t>
      </w:r>
      <w:r>
        <w:t>–</w:t>
      </w:r>
      <w:r w:rsidRPr="005E78FB">
        <w:t>tmj</w:t>
      </w:r>
    </w:p>
    <w:p w:rsidR="005E78FB" w:rsidRDefault="005E78FB" w:rsidP="00880AA2">
      <w:r w:rsidRPr="005E78FB">
        <w:t xml:space="preserve">"face" "seizures" adults "tongue" "tingling" -lupus -children -stroke -tia -lyme -ms -menopause </w:t>
      </w:r>
      <w:r>
        <w:t>–</w:t>
      </w:r>
      <w:r w:rsidRPr="005E78FB">
        <w:t>tmj</w:t>
      </w:r>
    </w:p>
    <w:p w:rsidR="005E78FB" w:rsidRDefault="005E78FB" w:rsidP="00880AA2"/>
    <w:p w:rsidR="005E78FB" w:rsidRDefault="005E78FB" w:rsidP="00880AA2">
      <w:bookmarkStart w:id="4" w:name="_GoBack"/>
      <w:bookmarkEnd w:id="4"/>
    </w:p>
    <w:sectPr w:rsidR="005E78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503F3"/>
    <w:multiLevelType w:val="multilevel"/>
    <w:tmpl w:val="5A20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153DA"/>
    <w:multiLevelType w:val="multilevel"/>
    <w:tmpl w:val="310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466EC6"/>
    <w:multiLevelType w:val="multilevel"/>
    <w:tmpl w:val="E6BEA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253ED"/>
    <w:multiLevelType w:val="multilevel"/>
    <w:tmpl w:val="D344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0F0002"/>
    <w:multiLevelType w:val="multilevel"/>
    <w:tmpl w:val="0B96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B37CE3"/>
    <w:multiLevelType w:val="multilevel"/>
    <w:tmpl w:val="C5A8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B32D02"/>
    <w:multiLevelType w:val="multilevel"/>
    <w:tmpl w:val="C6CC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5B42F5"/>
    <w:multiLevelType w:val="multilevel"/>
    <w:tmpl w:val="068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025EF0"/>
    <w:multiLevelType w:val="multilevel"/>
    <w:tmpl w:val="C198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65289A"/>
    <w:multiLevelType w:val="multilevel"/>
    <w:tmpl w:val="B22E0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CD4368"/>
    <w:multiLevelType w:val="multilevel"/>
    <w:tmpl w:val="5E2E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3D4FCC"/>
    <w:multiLevelType w:val="multilevel"/>
    <w:tmpl w:val="3242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B05601"/>
    <w:multiLevelType w:val="multilevel"/>
    <w:tmpl w:val="3B7EE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4C02DE"/>
    <w:multiLevelType w:val="multilevel"/>
    <w:tmpl w:val="5326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B552CB"/>
    <w:multiLevelType w:val="multilevel"/>
    <w:tmpl w:val="E3B65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1"/>
  </w:num>
  <w:num w:numId="3">
    <w:abstractNumId w:val="3"/>
  </w:num>
  <w:num w:numId="4">
    <w:abstractNumId w:val="7"/>
  </w:num>
  <w:num w:numId="5">
    <w:abstractNumId w:val="8"/>
  </w:num>
  <w:num w:numId="6">
    <w:abstractNumId w:val="1"/>
  </w:num>
  <w:num w:numId="7">
    <w:abstractNumId w:val="13"/>
  </w:num>
  <w:num w:numId="8">
    <w:abstractNumId w:val="5"/>
  </w:num>
  <w:num w:numId="9">
    <w:abstractNumId w:val="4"/>
  </w:num>
  <w:num w:numId="10">
    <w:abstractNumId w:val="2"/>
  </w:num>
  <w:num w:numId="11">
    <w:abstractNumId w:val="12"/>
  </w:num>
  <w:num w:numId="12">
    <w:abstractNumId w:val="6"/>
  </w:num>
  <w:num w:numId="13">
    <w:abstractNumId w:val="9"/>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AA2"/>
    <w:rsid w:val="000B6403"/>
    <w:rsid w:val="000D61FC"/>
    <w:rsid w:val="000E5729"/>
    <w:rsid w:val="001671A4"/>
    <w:rsid w:val="004755F9"/>
    <w:rsid w:val="00483CF3"/>
    <w:rsid w:val="004962D4"/>
    <w:rsid w:val="005E78FB"/>
    <w:rsid w:val="007B5DE0"/>
    <w:rsid w:val="00880AA2"/>
    <w:rsid w:val="00890A32"/>
    <w:rsid w:val="00B60EC3"/>
    <w:rsid w:val="00C23F9B"/>
    <w:rsid w:val="00D66E96"/>
    <w:rsid w:val="00EB6440"/>
    <w:rsid w:val="00F97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3C9306-AF64-4204-8002-DE489F1C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NormalWeb">
    <w:name w:val="Normal (Web)"/>
    <w:basedOn w:val="Normal"/>
    <w:uiPriority w:val="99"/>
    <w:semiHidden/>
    <w:unhideWhenUsed/>
    <w:rsid w:val="004755F9"/>
    <w:pPr>
      <w:spacing w:before="100" w:beforeAutospacing="1" w:after="100" w:afterAutospacing="1"/>
    </w:pPr>
    <w:rPr>
      <w:rFonts w:ascii="Times New Roman" w:eastAsia="Times New Roman" w:hAnsi="Times New Roman" w:cs="Times New Roman"/>
      <w:sz w:val="24"/>
      <w:szCs w:val="24"/>
    </w:rPr>
  </w:style>
  <w:style w:type="paragraph" w:customStyle="1" w:styleId="titsection1">
    <w:name w:val="titsection1"/>
    <w:basedOn w:val="Normal"/>
    <w:rsid w:val="004755F9"/>
    <w:pPr>
      <w:spacing w:before="100" w:beforeAutospacing="1" w:after="100" w:afterAutospacing="1"/>
    </w:pPr>
    <w:rPr>
      <w:rFonts w:ascii="Times New Roman" w:eastAsia="Times New Roman" w:hAnsi="Times New Roman" w:cs="Times New Roman"/>
      <w:sz w:val="24"/>
      <w:szCs w:val="24"/>
    </w:rPr>
  </w:style>
  <w:style w:type="paragraph" w:customStyle="1" w:styleId="titsection2">
    <w:name w:val="titsection2"/>
    <w:basedOn w:val="Normal"/>
    <w:rsid w:val="004755F9"/>
    <w:pPr>
      <w:spacing w:before="100" w:beforeAutospacing="1" w:after="100" w:afterAutospacing="1"/>
    </w:pPr>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7B5DE0"/>
    <w:pPr>
      <w:spacing w:before="100" w:beforeAutospacing="1" w:after="100" w:afterAutospacing="1"/>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7B5DE0"/>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7B5DE0"/>
    <w:pPr>
      <w:spacing w:before="100" w:beforeAutospacing="1" w:after="100" w:afterAutospacing="1"/>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7B5DE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201487">
      <w:bodyDiv w:val="1"/>
      <w:marLeft w:val="0"/>
      <w:marRight w:val="0"/>
      <w:marTop w:val="0"/>
      <w:marBottom w:val="0"/>
      <w:divBdr>
        <w:top w:val="none" w:sz="0" w:space="0" w:color="auto"/>
        <w:left w:val="none" w:sz="0" w:space="0" w:color="auto"/>
        <w:bottom w:val="none" w:sz="0" w:space="0" w:color="auto"/>
        <w:right w:val="none" w:sz="0" w:space="0" w:color="auto"/>
      </w:divBdr>
      <w:divsChild>
        <w:div w:id="742331926">
          <w:marLeft w:val="0"/>
          <w:marRight w:val="0"/>
          <w:marTop w:val="0"/>
          <w:marBottom w:val="0"/>
          <w:divBdr>
            <w:top w:val="none" w:sz="0" w:space="0" w:color="auto"/>
            <w:left w:val="none" w:sz="0" w:space="0" w:color="auto"/>
            <w:bottom w:val="none" w:sz="0" w:space="0" w:color="auto"/>
            <w:right w:val="none" w:sz="0" w:space="0" w:color="auto"/>
          </w:divBdr>
        </w:div>
        <w:div w:id="408425641">
          <w:marLeft w:val="0"/>
          <w:marRight w:val="0"/>
          <w:marTop w:val="0"/>
          <w:marBottom w:val="0"/>
          <w:divBdr>
            <w:top w:val="none" w:sz="0" w:space="0" w:color="auto"/>
            <w:left w:val="none" w:sz="0" w:space="0" w:color="auto"/>
            <w:bottom w:val="none" w:sz="0" w:space="0" w:color="auto"/>
            <w:right w:val="none" w:sz="0" w:space="0" w:color="auto"/>
          </w:divBdr>
        </w:div>
        <w:div w:id="173881790">
          <w:marLeft w:val="0"/>
          <w:marRight w:val="0"/>
          <w:marTop w:val="0"/>
          <w:marBottom w:val="0"/>
          <w:divBdr>
            <w:top w:val="none" w:sz="0" w:space="0" w:color="auto"/>
            <w:left w:val="none" w:sz="0" w:space="0" w:color="auto"/>
            <w:bottom w:val="none" w:sz="0" w:space="0" w:color="auto"/>
            <w:right w:val="none" w:sz="0" w:space="0" w:color="auto"/>
          </w:divBdr>
        </w:div>
        <w:div w:id="239483479">
          <w:marLeft w:val="0"/>
          <w:marRight w:val="0"/>
          <w:marTop w:val="0"/>
          <w:marBottom w:val="0"/>
          <w:divBdr>
            <w:top w:val="none" w:sz="0" w:space="0" w:color="auto"/>
            <w:left w:val="none" w:sz="0" w:space="0" w:color="auto"/>
            <w:bottom w:val="none" w:sz="0" w:space="0" w:color="auto"/>
            <w:right w:val="none" w:sz="0" w:space="0" w:color="auto"/>
          </w:divBdr>
        </w:div>
        <w:div w:id="1675570910">
          <w:marLeft w:val="0"/>
          <w:marRight w:val="0"/>
          <w:marTop w:val="0"/>
          <w:marBottom w:val="0"/>
          <w:divBdr>
            <w:top w:val="none" w:sz="0" w:space="0" w:color="auto"/>
            <w:left w:val="none" w:sz="0" w:space="0" w:color="auto"/>
            <w:bottom w:val="none" w:sz="0" w:space="0" w:color="auto"/>
            <w:right w:val="none" w:sz="0" w:space="0" w:color="auto"/>
          </w:divBdr>
        </w:div>
        <w:div w:id="97877730">
          <w:marLeft w:val="0"/>
          <w:marRight w:val="0"/>
          <w:marTop w:val="0"/>
          <w:marBottom w:val="0"/>
          <w:divBdr>
            <w:top w:val="none" w:sz="0" w:space="0" w:color="auto"/>
            <w:left w:val="none" w:sz="0" w:space="0" w:color="auto"/>
            <w:bottom w:val="none" w:sz="0" w:space="0" w:color="auto"/>
            <w:right w:val="none" w:sz="0" w:space="0" w:color="auto"/>
          </w:divBdr>
        </w:div>
        <w:div w:id="731927068">
          <w:marLeft w:val="0"/>
          <w:marRight w:val="0"/>
          <w:marTop w:val="0"/>
          <w:marBottom w:val="0"/>
          <w:divBdr>
            <w:top w:val="none" w:sz="0" w:space="0" w:color="auto"/>
            <w:left w:val="none" w:sz="0" w:space="0" w:color="auto"/>
            <w:bottom w:val="none" w:sz="0" w:space="0" w:color="auto"/>
            <w:right w:val="none" w:sz="0" w:space="0" w:color="auto"/>
          </w:divBdr>
        </w:div>
        <w:div w:id="1779373488">
          <w:marLeft w:val="0"/>
          <w:marRight w:val="0"/>
          <w:marTop w:val="0"/>
          <w:marBottom w:val="0"/>
          <w:divBdr>
            <w:top w:val="none" w:sz="0" w:space="0" w:color="auto"/>
            <w:left w:val="none" w:sz="0" w:space="0" w:color="auto"/>
            <w:bottom w:val="none" w:sz="0" w:space="0" w:color="auto"/>
            <w:right w:val="none" w:sz="0" w:space="0" w:color="auto"/>
          </w:divBdr>
        </w:div>
        <w:div w:id="1985694148">
          <w:marLeft w:val="0"/>
          <w:marRight w:val="0"/>
          <w:marTop w:val="0"/>
          <w:marBottom w:val="0"/>
          <w:divBdr>
            <w:top w:val="none" w:sz="0" w:space="0" w:color="auto"/>
            <w:left w:val="none" w:sz="0" w:space="0" w:color="auto"/>
            <w:bottom w:val="none" w:sz="0" w:space="0" w:color="auto"/>
            <w:right w:val="none" w:sz="0" w:space="0" w:color="auto"/>
          </w:divBdr>
        </w:div>
        <w:div w:id="1818759745">
          <w:marLeft w:val="0"/>
          <w:marRight w:val="0"/>
          <w:marTop w:val="0"/>
          <w:marBottom w:val="0"/>
          <w:divBdr>
            <w:top w:val="none" w:sz="0" w:space="0" w:color="auto"/>
            <w:left w:val="none" w:sz="0" w:space="0" w:color="auto"/>
            <w:bottom w:val="none" w:sz="0" w:space="0" w:color="auto"/>
            <w:right w:val="none" w:sz="0" w:space="0" w:color="auto"/>
          </w:divBdr>
        </w:div>
        <w:div w:id="918254945">
          <w:marLeft w:val="0"/>
          <w:marRight w:val="0"/>
          <w:marTop w:val="0"/>
          <w:marBottom w:val="0"/>
          <w:divBdr>
            <w:top w:val="none" w:sz="0" w:space="0" w:color="auto"/>
            <w:left w:val="none" w:sz="0" w:space="0" w:color="auto"/>
            <w:bottom w:val="none" w:sz="0" w:space="0" w:color="auto"/>
            <w:right w:val="none" w:sz="0" w:space="0" w:color="auto"/>
          </w:divBdr>
        </w:div>
        <w:div w:id="683095799">
          <w:marLeft w:val="0"/>
          <w:marRight w:val="0"/>
          <w:marTop w:val="0"/>
          <w:marBottom w:val="0"/>
          <w:divBdr>
            <w:top w:val="none" w:sz="0" w:space="0" w:color="auto"/>
            <w:left w:val="none" w:sz="0" w:space="0" w:color="auto"/>
            <w:bottom w:val="none" w:sz="0" w:space="0" w:color="auto"/>
            <w:right w:val="none" w:sz="0" w:space="0" w:color="auto"/>
          </w:divBdr>
        </w:div>
        <w:div w:id="415398996">
          <w:marLeft w:val="0"/>
          <w:marRight w:val="0"/>
          <w:marTop w:val="0"/>
          <w:marBottom w:val="0"/>
          <w:divBdr>
            <w:top w:val="none" w:sz="0" w:space="0" w:color="auto"/>
            <w:left w:val="none" w:sz="0" w:space="0" w:color="auto"/>
            <w:bottom w:val="none" w:sz="0" w:space="0" w:color="auto"/>
            <w:right w:val="none" w:sz="0" w:space="0" w:color="auto"/>
          </w:divBdr>
        </w:div>
        <w:div w:id="277613873">
          <w:marLeft w:val="0"/>
          <w:marRight w:val="0"/>
          <w:marTop w:val="0"/>
          <w:marBottom w:val="0"/>
          <w:divBdr>
            <w:top w:val="none" w:sz="0" w:space="0" w:color="auto"/>
            <w:left w:val="none" w:sz="0" w:space="0" w:color="auto"/>
            <w:bottom w:val="none" w:sz="0" w:space="0" w:color="auto"/>
            <w:right w:val="none" w:sz="0" w:space="0" w:color="auto"/>
          </w:divBdr>
        </w:div>
      </w:divsChild>
    </w:div>
    <w:div w:id="748769232">
      <w:bodyDiv w:val="1"/>
      <w:marLeft w:val="0"/>
      <w:marRight w:val="0"/>
      <w:marTop w:val="0"/>
      <w:marBottom w:val="0"/>
      <w:divBdr>
        <w:top w:val="none" w:sz="0" w:space="0" w:color="auto"/>
        <w:left w:val="none" w:sz="0" w:space="0" w:color="auto"/>
        <w:bottom w:val="none" w:sz="0" w:space="0" w:color="auto"/>
        <w:right w:val="none" w:sz="0" w:space="0" w:color="auto"/>
      </w:divBdr>
    </w:div>
    <w:div w:id="1546482104">
      <w:bodyDiv w:val="1"/>
      <w:marLeft w:val="0"/>
      <w:marRight w:val="0"/>
      <w:marTop w:val="0"/>
      <w:marBottom w:val="0"/>
      <w:divBdr>
        <w:top w:val="none" w:sz="0" w:space="0" w:color="auto"/>
        <w:left w:val="none" w:sz="0" w:space="0" w:color="auto"/>
        <w:bottom w:val="none" w:sz="0" w:space="0" w:color="auto"/>
        <w:right w:val="none" w:sz="0" w:space="0" w:color="auto"/>
      </w:divBdr>
    </w:div>
    <w:div w:id="1864324669">
      <w:bodyDiv w:val="1"/>
      <w:marLeft w:val="0"/>
      <w:marRight w:val="0"/>
      <w:marTop w:val="0"/>
      <w:marBottom w:val="0"/>
      <w:divBdr>
        <w:top w:val="none" w:sz="0" w:space="0" w:color="auto"/>
        <w:left w:val="none" w:sz="0" w:space="0" w:color="auto"/>
        <w:bottom w:val="none" w:sz="0" w:space="0" w:color="auto"/>
        <w:right w:val="none" w:sz="0" w:space="0" w:color="auto"/>
      </w:divBdr>
    </w:div>
    <w:div w:id="2024821736">
      <w:bodyDiv w:val="1"/>
      <w:marLeft w:val="0"/>
      <w:marRight w:val="0"/>
      <w:marTop w:val="0"/>
      <w:marBottom w:val="0"/>
      <w:divBdr>
        <w:top w:val="none" w:sz="0" w:space="0" w:color="auto"/>
        <w:left w:val="none" w:sz="0" w:space="0" w:color="auto"/>
        <w:bottom w:val="none" w:sz="0" w:space="0" w:color="auto"/>
        <w:right w:val="none" w:sz="0" w:space="0" w:color="auto"/>
      </w:divBdr>
      <w:divsChild>
        <w:div w:id="1817726282">
          <w:marLeft w:val="3840"/>
          <w:marRight w:val="0"/>
          <w:marTop w:val="0"/>
          <w:marBottom w:val="0"/>
          <w:divBdr>
            <w:top w:val="none" w:sz="0" w:space="0" w:color="auto"/>
            <w:left w:val="none" w:sz="0" w:space="0" w:color="auto"/>
            <w:bottom w:val="none" w:sz="0" w:space="0" w:color="auto"/>
            <w:right w:val="none" w:sz="0" w:space="0" w:color="auto"/>
          </w:divBdr>
          <w:divsChild>
            <w:div w:id="1892497715">
              <w:marLeft w:val="0"/>
              <w:marRight w:val="0"/>
              <w:marTop w:val="120"/>
              <w:marBottom w:val="0"/>
              <w:divBdr>
                <w:top w:val="none" w:sz="0" w:space="0" w:color="auto"/>
                <w:left w:val="none" w:sz="0" w:space="0" w:color="auto"/>
                <w:bottom w:val="none" w:sz="0" w:space="0" w:color="auto"/>
                <w:right w:val="none" w:sz="0" w:space="0" w:color="auto"/>
              </w:divBdr>
              <w:divsChild>
                <w:div w:id="716856619">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jle.com/en/revues/epd/e-docs/hemifacial_spasm_or_subcortical_epilepsy__110108/article.phtml?tab=images" TargetMode="External"/><Relationship Id="rId11" Type="http://schemas.openxmlformats.org/officeDocument/2006/relationships/hyperlink" Target="http://cancergrace.org/forums/index.php?topic=1751.0" TargetMode="External"/><Relationship Id="rId5" Type="http://schemas.openxmlformats.org/officeDocument/2006/relationships/webSettings" Target="webSettings.xml"/><Relationship Id="rId10" Type="http://schemas.openxmlformats.org/officeDocument/2006/relationships/hyperlink" Target="http://academic.sun.ac.za/stellmed/articles/basic_sciences/an10630.htm" TargetMode="Externa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lewyc\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Single spaced (blank)</Template>
  <TotalTime>121</TotalTime>
  <Pages>13</Pages>
  <Words>3915</Words>
  <Characters>22321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Lewycky, George</dc:creator>
  <cp:keywords/>
  <dc:description/>
  <cp:lastModifiedBy>Lewycky, George</cp:lastModifiedBy>
  <cp:revision>24</cp:revision>
  <dcterms:created xsi:type="dcterms:W3CDTF">2018-01-18T18:53:00Z</dcterms:created>
  <dcterms:modified xsi:type="dcterms:W3CDTF">2018-01-18T21:02:00Z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ies>
</file>